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pPr>
        <w:jc w:val="center"/>
      </w:pPr>
      <w:r>
        <w:rPr>
          <w:b/>
          <w:color w:val="1F4E79"/>
          <w:sz w:val="28"/>
        </w:rPr>
        <w:t>Your Date Genie LLC</w:t>
      </w:r>
    </w:p>
    <w:p>
      <w:pPr>
        <w:jc w:val="center"/>
      </w:pPr>
      <w:r>
        <w:rPr>
          <w:color w:val="505050"/>
          <w:sz w:val="18"/>
        </w:rPr>
        <w:t>Effective Date: June 4, 2026</w:t>
      </w:r>
    </w:p>
    <w:p>
      <w:pPr>
        <w:jc w:val="center"/>
      </w:pPr>
      <w:r>
        <w:rPr>
          <w:color w:val="505050"/>
          <w:sz w:val="18"/>
        </w:rPr>
        <w:t>Last Updated: June 4, 2026</w:t>
      </w:r>
    </w:p>
    <w:p>
      <w:pPr>
        <w:jc w:val="center"/>
      </w:pPr>
      <w:r>
        <w:rPr>
          <w:color w:val="505050"/>
          <w:sz w:val="18"/>
        </w:rPr>
        <w:t>Contact: privacy@yourdategenie.com</w:t>
      </w:r>
    </w:p>
    <w:p>
      <w:pPr>
        <w:jc w:val="center"/>
      </w:pPr>
      <w:r>
        <w:rPr>
          <w:color w:val="505050"/>
          <w:sz w:val="18"/>
        </w:rPr>
        <w:t>Website: yourdategenie.com</w:t>
      </w:r>
    </w:p>
    <w:p>
      <w:pPr>
        <w:spacing w:before="80" w:after="200"/>
      </w:pPr>
      <w:r>
        <w:rPr>
          <w:color w:val="B4B4B4"/>
        </w:rPr>
        <w:t>__________________________________________________________________________________________</w:t>
      </w:r>
    </w:p>
    <w:p>
      <w:r>
        <w:rPr>
          <w:b/>
          <w:sz w:val="20"/>
        </w:rPr>
        <w:t>Website:</w:t>
      </w:r>
      <w:r>
        <w:rPr>
          <w:sz w:val="20"/>
        </w:rPr>
        <w:t xml:space="preserve"> yourdategenie.com</w:t>
      </w:r>
    </w:p>
    <w:p>
      <w:r>
        <w:rPr>
          <w:sz w:val="20"/>
        </w:rPr>
        <w:t>Your Date Genie LLC ("Your Date Genie," "Date Genie," "we," "us," or "our") operates the Your Date Genie mobile app, website, and related services, including AI-assisted planning, recommendations, messages, memory features, payments, customer support, and related digital experiences together referred to as the "Service."</w:t>
      </w:r>
    </w:p>
    <w:p>
      <w:r>
        <w:rPr>
          <w:sz w:val="20"/>
        </w:rPr>
        <w:t>This Privacy Policy explains how we collect, use, disclose, store, protect, and otherwise process personal information when you use the Service, visit our website, create an account, contact us, make a purchase, join a waitlist, use our AI features, or otherwise interact with us.</w:t>
      </w:r>
    </w:p>
    <w:p>
      <w:r>
        <w:rPr>
          <w:sz w:val="20"/>
        </w:rPr>
        <w:t>We wrote this policy to be clear and practical. It is intended to describe our privacy practices in a way that supports major privacy and data protection laws, including the General Data Protection Regulation ("GDPR"), UK GDPR, California Consumer Privacy Act as amended by the California Privacy Rights Act ("CCPA/CPRA"), Canada's Personal Information Protection and Electronic Documents Act ("PIPEDA"), Brazil's Lei Geral de Protecao de Dados ("LGPD"), Singapore's Personal Data Protection Act ("PDPA"), Thailand's Personal Data Protection Act, South Africa's Protection of Personal Information Act ("POPIA"), and other applicable privacy laws.</w:t>
      </w:r>
    </w:p>
    <w:p>
      <w:r>
        <w:rPr>
          <w:sz w:val="20"/>
        </w:rPr>
        <w:t>If a specific law gives you additional rights based on where you live, we will honor those rights as required.</w:t>
      </w:r>
    </w:p>
    <w:p>
      <w:pPr>
        <w:pStyle w:val="Heading1"/>
      </w:pPr>
      <w:r>
        <w:t>1. The Short Version</w:t>
      </w:r>
    </w:p>
    <w:p>
      <w:r>
        <w:rPr>
          <w:sz w:val="20"/>
        </w:rPr>
        <w:t>We collect information needed to provide and improve the Service, including account details, preferences, AI prompts, saved content, support messages, device information, payment-related information, and information created when you use our features.</w:t>
      </w:r>
    </w:p>
    <w:p>
      <w:r>
        <w:rPr>
          <w:sz w:val="20"/>
        </w:rPr>
        <w:t>We use AI to help generate date plans, messages, recommendations, gift ideas, and similar features. You should not enter card numbers, Social Security numbers, government ID numbers, protected health information, or highly sensitive information into AI prompts or other free-text fields unless a feature clearly asks for it.</w:t>
      </w:r>
    </w:p>
    <w:p>
      <w:r>
        <w:rPr>
          <w:sz w:val="20"/>
        </w:rPr>
        <w:t>We may process payment information through Apple, the App Store, or other PCI-compliant payment processors. We do not want payment card numbers submitted through AI prompts, support tickets, emails, surveys, or chat messages.</w:t>
      </w:r>
    </w:p>
    <w:p>
      <w:r>
        <w:rPr>
          <w:sz w:val="20"/>
        </w:rPr>
        <w:t>We do not sell your personal information for money. We do not share your personal information with data brokers.</w:t>
      </w:r>
    </w:p>
    <w:p>
      <w:r>
        <w:rPr>
          <w:sz w:val="20"/>
        </w:rPr>
        <w:t>We use service providers for hosting, authentication, storage, AI processing, email, analytics, payments, security, logging, support, and compliance.</w:t>
      </w:r>
    </w:p>
    <w:p>
      <w:r>
        <w:rPr>
          <w:sz w:val="20"/>
        </w:rPr>
        <w:t>You may have rights to access, correct, delete, export, restrict, object to, or opt out of certain uses of your personal information.</w:t>
      </w:r>
    </w:p>
    <w:p>
      <w:r>
        <w:rPr>
          <w:sz w:val="20"/>
        </w:rPr>
        <w:t>We use security safeguards such as encryption, access controls, least privilege, logging, backups, vendor reviews, and incident response procedures. No online service can be guaranteed to be completely secure.</w:t>
      </w:r>
    </w:p>
    <w:p>
      <w:pPr>
        <w:pStyle w:val="Heading1"/>
      </w:pPr>
      <w:r>
        <w:t>2. Who Is Responsible for Your Information</w:t>
      </w:r>
    </w:p>
    <w:p>
      <w:r>
        <w:rPr>
          <w:sz w:val="20"/>
        </w:rPr>
        <w:t>For most uses of the Service, Your Date Genie LLC is the controller or business responsible for the personal information described in this policy.</w:t>
      </w:r>
    </w:p>
    <w:p>
      <w:r>
        <w:rPr>
          <w:sz w:val="20"/>
        </w:rPr>
        <w:t>For privacy questions, requests, or complaints, contact:</w:t>
      </w:r>
    </w:p>
    <w:p>
      <w:r>
        <w:rPr>
          <w:sz w:val="20"/>
        </w:rPr>
        <w:t>Your Date Genie LLC</w:t>
      </w:r>
    </w:p>
    <w:p>
      <w:r>
        <w:rPr>
          <w:b/>
          <w:sz w:val="20"/>
        </w:rPr>
        <w:t>Email:</w:t>
      </w:r>
      <w:r>
        <w:rPr>
          <w:sz w:val="20"/>
        </w:rPr>
        <w:t xml:space="preserve"> privacy@yourdategenie.com</w:t>
      </w:r>
    </w:p>
    <w:p>
      <w:r>
        <w:rPr>
          <w:b/>
          <w:sz w:val="20"/>
        </w:rPr>
        <w:t>Website:</w:t>
      </w:r>
      <w:r>
        <w:rPr>
          <w:sz w:val="20"/>
        </w:rPr>
        <w:t xml:space="preserve"> yourdategenie.com</w:t>
      </w:r>
    </w:p>
    <w:p>
      <w:r>
        <w:rPr>
          <w:b/>
          <w:sz w:val="20"/>
        </w:rPr>
        <w:t>Mailing Address:</w:t>
      </w:r>
      <w:r>
        <w:rPr>
          <w:sz w:val="20"/>
        </w:rPr>
        <w:t xml:space="preserve"> New Jersey, United States (full mailing address available on request at privacy@yourdategenie.com)</w:t>
      </w:r>
    </w:p>
    <w:p>
      <w:r>
        <w:rPr>
          <w:sz w:val="20"/>
        </w:rPr>
        <w:t>If we appoint a Data Protection Officer, EU representative, UK representative, or similar privacy contact, we will update this section.</w:t>
      </w:r>
    </w:p>
    <w:p>
      <w:r>
        <w:rPr>
          <w:b/>
          <w:sz w:val="20"/>
        </w:rPr>
        <w:t>Data Protection Officer:</w:t>
      </w:r>
      <w:r>
        <w:rPr>
          <w:sz w:val="20"/>
        </w:rPr>
        <w:t xml:space="preserve"> Not appointed</w:t>
      </w:r>
    </w:p>
    <w:p>
      <w:r>
        <w:rPr>
          <w:b/>
          <w:sz w:val="20"/>
        </w:rPr>
        <w:t>EU Representative:</w:t>
      </w:r>
      <w:r>
        <w:rPr>
          <w:sz w:val="20"/>
        </w:rPr>
        <w:t xml:space="preserve"> Not appointed</w:t>
      </w:r>
    </w:p>
    <w:p>
      <w:r>
        <w:rPr>
          <w:b/>
          <w:sz w:val="20"/>
        </w:rPr>
        <w:t>UK Representative:</w:t>
      </w:r>
      <w:r>
        <w:rPr>
          <w:sz w:val="20"/>
        </w:rPr>
        <w:t xml:space="preserve"> Not appointed</w:t>
      </w:r>
    </w:p>
    <w:p>
      <w:r>
        <w:rPr>
          <w:b/>
          <w:sz w:val="20"/>
        </w:rPr>
        <w:t>Brazil LGPD Contact / Encarregado:</w:t>
      </w:r>
      <w:r>
        <w:rPr>
          <w:sz w:val="20"/>
        </w:rPr>
        <w:t xml:space="preserve"> privacy@yourdategenie.com</w:t>
      </w:r>
    </w:p>
    <w:p>
      <w:pPr>
        <w:pStyle w:val="Heading1"/>
      </w:pPr>
      <w:r>
        <w:t>3. Scope of This Policy</w:t>
      </w:r>
    </w:p>
    <w:p>
      <w:r>
        <w:rPr>
          <w:sz w:val="20"/>
        </w:rPr>
        <w:t>This policy applies to personal information we process through:</w:t>
      </w:r>
    </w:p>
    <w:p>
      <w:pPr>
        <w:pStyle w:val="ListBullet"/>
        <w:spacing w:after="40"/>
        <w:ind w:left="317" w:hanging="216"/>
      </w:pPr>
      <w:r>
        <w:rPr>
          <w:sz w:val="19"/>
        </w:rPr>
        <w:t>The Your Date Genie mobile app</w:t>
      </w:r>
    </w:p>
    <w:p>
      <w:pPr>
        <w:pStyle w:val="ListBullet"/>
        <w:spacing w:after="40"/>
        <w:ind w:left="317" w:hanging="216"/>
      </w:pPr>
      <w:r>
        <w:rPr>
          <w:sz w:val="19"/>
        </w:rPr>
        <w:t>The Your Date Genie website</w:t>
      </w:r>
    </w:p>
    <w:p>
      <w:pPr>
        <w:pStyle w:val="ListBullet"/>
        <w:spacing w:after="40"/>
        <w:ind w:left="317" w:hanging="216"/>
      </w:pPr>
      <w:r>
        <w:rPr>
          <w:sz w:val="19"/>
        </w:rPr>
        <w:t>AI-assisted features</w:t>
      </w:r>
    </w:p>
    <w:p>
      <w:pPr>
        <w:pStyle w:val="ListBullet"/>
        <w:spacing w:after="40"/>
        <w:ind w:left="317" w:hanging="216"/>
      </w:pPr>
      <w:r>
        <w:rPr>
          <w:sz w:val="19"/>
        </w:rPr>
        <w:t>Account registration and login</w:t>
      </w:r>
    </w:p>
    <w:p>
      <w:pPr>
        <w:pStyle w:val="ListBullet"/>
        <w:spacing w:after="40"/>
        <w:ind w:left="317" w:hanging="216"/>
      </w:pPr>
      <w:r>
        <w:rPr>
          <w:sz w:val="19"/>
        </w:rPr>
        <w:t>Partner planning features</w:t>
      </w:r>
    </w:p>
    <w:p>
      <w:pPr>
        <w:pStyle w:val="ListBullet"/>
        <w:spacing w:after="40"/>
        <w:ind w:left="317" w:hanging="216"/>
      </w:pPr>
      <w:r>
        <w:rPr>
          <w:sz w:val="19"/>
        </w:rPr>
        <w:t>Memory, photo, caption, note, and saved plan features</w:t>
      </w:r>
    </w:p>
    <w:p>
      <w:pPr>
        <w:pStyle w:val="ListBullet"/>
        <w:spacing w:after="40"/>
        <w:ind w:left="317" w:hanging="216"/>
      </w:pPr>
      <w:r>
        <w:rPr>
          <w:sz w:val="19"/>
        </w:rPr>
        <w:t>Payment and subscription features</w:t>
      </w:r>
    </w:p>
    <w:p>
      <w:pPr>
        <w:pStyle w:val="ListBullet"/>
        <w:spacing w:after="40"/>
        <w:ind w:left="317" w:hanging="216"/>
      </w:pPr>
      <w:r>
        <w:rPr>
          <w:sz w:val="19"/>
        </w:rPr>
        <w:t>Waitlist and beta signup forms</w:t>
      </w:r>
    </w:p>
    <w:p>
      <w:pPr>
        <w:pStyle w:val="ListBullet"/>
        <w:spacing w:after="40"/>
        <w:ind w:left="317" w:hanging="216"/>
      </w:pPr>
      <w:r>
        <w:rPr>
          <w:sz w:val="19"/>
        </w:rPr>
        <w:t>Customer support</w:t>
      </w:r>
    </w:p>
    <w:p>
      <w:pPr>
        <w:pStyle w:val="ListBullet"/>
        <w:spacing w:after="40"/>
        <w:ind w:left="317" w:hanging="216"/>
      </w:pPr>
      <w:r>
        <w:rPr>
          <w:sz w:val="19"/>
        </w:rPr>
        <w:t>Email and other communications</w:t>
      </w:r>
    </w:p>
    <w:p>
      <w:pPr>
        <w:pStyle w:val="ListBullet"/>
        <w:spacing w:after="40"/>
        <w:ind w:left="317" w:hanging="216"/>
      </w:pPr>
      <w:r>
        <w:rPr>
          <w:sz w:val="19"/>
        </w:rPr>
        <w:t>Security, analytics, diagnostics, and fraud prevention tools</w:t>
      </w:r>
    </w:p>
    <w:p>
      <w:pPr>
        <w:pStyle w:val="ListBullet"/>
        <w:spacing w:after="40"/>
        <w:ind w:left="317" w:hanging="216"/>
      </w:pPr>
      <w:r>
        <w:rPr>
          <w:sz w:val="19"/>
        </w:rPr>
        <w:t>Any other online feature that links to this policy</w:t>
      </w:r>
    </w:p>
    <w:p>
      <w:r>
        <w:rPr>
          <w:sz w:val="20"/>
        </w:rPr>
        <w:t>This policy does not apply to third-party websites, app stores, venues, restaurants, reservation services, payment pages, map providers, or other services that we do not control. Their own privacy policies apply.</w:t>
      </w:r>
    </w:p>
    <w:p>
      <w:pPr>
        <w:pStyle w:val="Heading1"/>
      </w:pPr>
      <w:r>
        <w:t>4. Personal Information We Collect</w:t>
      </w:r>
    </w:p>
    <w:p>
      <w:r>
        <w:rPr>
          <w:sz w:val="20"/>
        </w:rPr>
        <w:t>We collect personal information in a few ways: information you give us, information generated when you use the Service, information collected automatically, and information we receive from service providers or third parties.</w:t>
      </w:r>
    </w:p>
    <w:p>
      <w:pPr>
        <w:pStyle w:val="Heading2"/>
      </w:pPr>
      <w:r>
        <w:t>4.1 Account and Profile Information</w:t>
      </w:r>
    </w:p>
    <w:p>
      <w:r>
        <w:rPr>
          <w:b/>
          <w:sz w:val="20"/>
        </w:rPr>
        <w:t>We may collect:</w:t>
      </w:r>
      <w:r>
        <w:rPr>
          <w:sz w:val="20"/>
        </w:rPr>
      </w:r>
    </w:p>
    <w:p>
      <w:pPr>
        <w:pStyle w:val="ListBullet"/>
        <w:spacing w:after="40"/>
        <w:ind w:left="317" w:hanging="216"/>
      </w:pPr>
      <w:r>
        <w:rPr>
          <w:sz w:val="19"/>
        </w:rPr>
        <w:t>Name</w:t>
      </w:r>
    </w:p>
    <w:p>
      <w:pPr>
        <w:pStyle w:val="ListBullet"/>
        <w:spacing w:after="40"/>
        <w:ind w:left="317" w:hanging="216"/>
      </w:pPr>
      <w:r>
        <w:rPr>
          <w:sz w:val="19"/>
        </w:rPr>
        <w:t>Email address</w:t>
      </w:r>
    </w:p>
    <w:p>
      <w:pPr>
        <w:pStyle w:val="ListBullet"/>
        <w:spacing w:after="40"/>
        <w:ind w:left="317" w:hanging="216"/>
      </w:pPr>
      <w:r>
        <w:rPr>
          <w:sz w:val="19"/>
        </w:rPr>
        <w:t>Phone number, if you provide it</w:t>
      </w:r>
    </w:p>
    <w:p>
      <w:pPr>
        <w:pStyle w:val="ListBullet"/>
        <w:spacing w:after="40"/>
        <w:ind w:left="317" w:hanging="216"/>
      </w:pPr>
      <w:r>
        <w:rPr>
          <w:sz w:val="19"/>
        </w:rPr>
        <w:t>Username or account identifier</w:t>
      </w:r>
    </w:p>
    <w:p>
      <w:pPr>
        <w:pStyle w:val="ListBullet"/>
        <w:spacing w:after="40"/>
        <w:ind w:left="317" w:hanging="216"/>
      </w:pPr>
      <w:r>
        <w:rPr>
          <w:sz w:val="19"/>
        </w:rPr>
        <w:t>Password or authentication information</w:t>
      </w:r>
    </w:p>
    <w:p>
      <w:pPr>
        <w:pStyle w:val="ListBullet"/>
        <w:spacing w:after="40"/>
        <w:ind w:left="317" w:hanging="216"/>
      </w:pPr>
      <w:r>
        <w:rPr>
          <w:sz w:val="19"/>
        </w:rPr>
        <w:t>Social login information from Apple, Google, or similar providers</w:t>
      </w:r>
    </w:p>
    <w:p>
      <w:pPr>
        <w:pStyle w:val="ListBullet"/>
        <w:spacing w:after="40"/>
        <w:ind w:left="317" w:hanging="216"/>
      </w:pPr>
      <w:r>
        <w:rPr>
          <w:sz w:val="19"/>
        </w:rPr>
        <w:t>Provider-issued account ID</w:t>
      </w:r>
    </w:p>
    <w:p>
      <w:pPr>
        <w:pStyle w:val="ListBullet"/>
        <w:spacing w:after="40"/>
        <w:ind w:left="317" w:hanging="216"/>
      </w:pPr>
      <w:r>
        <w:rPr>
          <w:sz w:val="19"/>
        </w:rPr>
        <w:t>Date of birth, age confirmation, or age range, if needed</w:t>
      </w:r>
    </w:p>
    <w:p>
      <w:pPr>
        <w:pStyle w:val="ListBullet"/>
        <w:spacing w:after="40"/>
        <w:ind w:left="317" w:hanging="216"/>
      </w:pPr>
      <w:r>
        <w:rPr>
          <w:sz w:val="19"/>
        </w:rPr>
        <w:t>Profile settings</w:t>
      </w:r>
    </w:p>
    <w:p>
      <w:pPr>
        <w:pStyle w:val="ListBullet"/>
        <w:spacing w:after="40"/>
        <w:ind w:left="317" w:hanging="216"/>
      </w:pPr>
      <w:r>
        <w:rPr>
          <w:sz w:val="19"/>
        </w:rPr>
        <w:t>Account preferences</w:t>
      </w:r>
    </w:p>
    <w:p>
      <w:pPr>
        <w:pStyle w:val="ListBullet"/>
        <w:spacing w:after="40"/>
        <w:ind w:left="317" w:hanging="216"/>
      </w:pPr>
      <w:r>
        <w:rPr>
          <w:sz w:val="19"/>
        </w:rPr>
        <w:t>Subscription status</w:t>
      </w:r>
    </w:p>
    <w:p>
      <w:pPr>
        <w:pStyle w:val="ListBullet"/>
        <w:spacing w:after="40"/>
        <w:ind w:left="317" w:hanging="216"/>
      </w:pPr>
      <w:r>
        <w:rPr>
          <w:sz w:val="19"/>
        </w:rPr>
        <w:t>Account activity</w:t>
      </w:r>
    </w:p>
    <w:p>
      <w:pPr>
        <w:pStyle w:val="Heading2"/>
      </w:pPr>
      <w:r>
        <w:t>4.2 Preference, Planning, and Personalization Information</w:t>
      </w:r>
    </w:p>
    <w:p>
      <w:r>
        <w:rPr>
          <w:sz w:val="20"/>
        </w:rPr>
        <w:t>To personalize the Service, we may collect information you choose to provide, such as:</w:t>
      </w:r>
    </w:p>
    <w:p>
      <w:pPr>
        <w:pStyle w:val="ListBullet"/>
        <w:spacing w:after="40"/>
        <w:ind w:left="317" w:hanging="216"/>
      </w:pPr>
      <w:r>
        <w:rPr>
          <w:sz w:val="19"/>
        </w:rPr>
        <w:t>Date preferences</w:t>
      </w:r>
    </w:p>
    <w:p>
      <w:pPr>
        <w:pStyle w:val="ListBullet"/>
        <w:spacing w:after="40"/>
        <w:ind w:left="317" w:hanging="216"/>
      </w:pPr>
      <w:r>
        <w:rPr>
          <w:sz w:val="19"/>
        </w:rPr>
        <w:t>Activity preferences</w:t>
      </w:r>
    </w:p>
    <w:p>
      <w:pPr>
        <w:pStyle w:val="ListBullet"/>
        <w:spacing w:after="40"/>
        <w:ind w:left="317" w:hanging="216"/>
      </w:pPr>
      <w:r>
        <w:rPr>
          <w:sz w:val="19"/>
        </w:rPr>
        <w:t>Food and dietary preferences</w:t>
      </w:r>
    </w:p>
    <w:p>
      <w:pPr>
        <w:pStyle w:val="ListBullet"/>
        <w:spacing w:after="40"/>
        <w:ind w:left="317" w:hanging="216"/>
      </w:pPr>
      <w:r>
        <w:rPr>
          <w:sz w:val="19"/>
        </w:rPr>
        <w:t>Budget range</w:t>
      </w:r>
    </w:p>
    <w:p>
      <w:pPr>
        <w:pStyle w:val="ListBullet"/>
        <w:spacing w:after="40"/>
        <w:ind w:left="317" w:hanging="216"/>
      </w:pPr>
      <w:r>
        <w:rPr>
          <w:sz w:val="19"/>
        </w:rPr>
        <w:t>Neighborhood, city, region, or approximate location</w:t>
      </w:r>
    </w:p>
    <w:p>
      <w:pPr>
        <w:pStyle w:val="ListBullet"/>
        <w:spacing w:after="40"/>
        <w:ind w:left="317" w:hanging="216"/>
      </w:pPr>
      <w:r>
        <w:rPr>
          <w:sz w:val="19"/>
        </w:rPr>
        <w:t>Timing and availability preferences</w:t>
      </w:r>
    </w:p>
    <w:p>
      <w:pPr>
        <w:pStyle w:val="ListBullet"/>
        <w:spacing w:after="40"/>
        <w:ind w:left="317" w:hanging="216"/>
      </w:pPr>
      <w:r>
        <w:rPr>
          <w:sz w:val="19"/>
        </w:rPr>
        <w:t>Accessibility preferences</w:t>
      </w:r>
    </w:p>
    <w:p>
      <w:pPr>
        <w:pStyle w:val="ListBullet"/>
        <w:spacing w:after="40"/>
        <w:ind w:left="317" w:hanging="216"/>
      </w:pPr>
      <w:r>
        <w:rPr>
          <w:sz w:val="19"/>
        </w:rPr>
        <w:t>Special occasions</w:t>
      </w:r>
    </w:p>
    <w:p>
      <w:pPr>
        <w:pStyle w:val="ListBullet"/>
        <w:spacing w:after="40"/>
        <w:ind w:left="317" w:hanging="216"/>
      </w:pPr>
      <w:r>
        <w:rPr>
          <w:sz w:val="19"/>
        </w:rPr>
        <w:t>Dealbreakers</w:t>
      </w:r>
    </w:p>
    <w:p>
      <w:pPr>
        <w:pStyle w:val="ListBullet"/>
        <w:spacing w:after="40"/>
        <w:ind w:left="317" w:hanging="216"/>
      </w:pPr>
      <w:r>
        <w:rPr>
          <w:sz w:val="19"/>
        </w:rPr>
        <w:t>Interests</w:t>
      </w:r>
    </w:p>
    <w:p>
      <w:pPr>
        <w:pStyle w:val="ListBullet"/>
        <w:spacing w:after="40"/>
        <w:ind w:left="317" w:hanging="216"/>
      </w:pPr>
      <w:r>
        <w:rPr>
          <w:sz w:val="19"/>
        </w:rPr>
        <w:t>Relationship-related preferences</w:t>
      </w:r>
    </w:p>
    <w:p>
      <w:pPr>
        <w:pStyle w:val="ListBullet"/>
        <w:spacing w:after="40"/>
        <w:ind w:left="317" w:hanging="216"/>
      </w:pPr>
      <w:r>
        <w:rPr>
          <w:sz w:val="19"/>
        </w:rPr>
        <w:t>Saved plans</w:t>
      </w:r>
    </w:p>
    <w:p>
      <w:pPr>
        <w:pStyle w:val="ListBullet"/>
        <w:spacing w:after="40"/>
        <w:ind w:left="317" w:hanging="216"/>
      </w:pPr>
      <w:r>
        <w:rPr>
          <w:sz w:val="19"/>
        </w:rPr>
        <w:t>Favorite venues or categories</w:t>
      </w:r>
    </w:p>
    <w:p>
      <w:pPr>
        <w:pStyle w:val="ListBullet"/>
        <w:spacing w:after="40"/>
        <w:ind w:left="317" w:hanging="216"/>
      </w:pPr>
      <w:r>
        <w:rPr>
          <w:sz w:val="19"/>
        </w:rPr>
        <w:t>Gift preferences</w:t>
      </w:r>
    </w:p>
    <w:p>
      <w:pPr>
        <w:pStyle w:val="ListBullet"/>
        <w:spacing w:after="40"/>
        <w:ind w:left="317" w:hanging="216"/>
      </w:pPr>
      <w:r>
        <w:rPr>
          <w:sz w:val="19"/>
        </w:rPr>
        <w:t>Other information you provide to personalize recommendations</w:t>
      </w:r>
    </w:p>
    <w:p>
      <w:pPr>
        <w:pStyle w:val="Heading2"/>
      </w:pPr>
      <w:r>
        <w:t>4.3 AI Prompts, Inputs, and Outputs</w:t>
      </w:r>
    </w:p>
    <w:p>
      <w:r>
        <w:rPr>
          <w:sz w:val="20"/>
        </w:rPr>
        <w:t>When you use AI-powered features, we may process:</w:t>
      </w:r>
    </w:p>
    <w:p>
      <w:pPr>
        <w:pStyle w:val="ListBullet"/>
        <w:spacing w:after="40"/>
        <w:ind w:left="317" w:hanging="216"/>
      </w:pPr>
      <w:r>
        <w:rPr>
          <w:sz w:val="19"/>
        </w:rPr>
        <w:t>Prompts</w:t>
      </w:r>
    </w:p>
    <w:p>
      <w:pPr>
        <w:pStyle w:val="ListBullet"/>
        <w:spacing w:after="40"/>
        <w:ind w:left="317" w:hanging="216"/>
      </w:pPr>
      <w:r>
        <w:rPr>
          <w:sz w:val="19"/>
        </w:rPr>
        <w:t>Questions</w:t>
      </w:r>
    </w:p>
    <w:p>
      <w:pPr>
        <w:pStyle w:val="ListBullet"/>
        <w:spacing w:after="40"/>
        <w:ind w:left="317" w:hanging="216"/>
      </w:pPr>
      <w:r>
        <w:rPr>
          <w:sz w:val="19"/>
        </w:rPr>
        <w:t>Instructions</w:t>
      </w:r>
    </w:p>
    <w:p>
      <w:pPr>
        <w:pStyle w:val="ListBullet"/>
        <w:spacing w:after="40"/>
        <w:ind w:left="317" w:hanging="216"/>
      </w:pPr>
      <w:r>
        <w:rPr>
          <w:sz w:val="19"/>
        </w:rPr>
        <w:t>Preference details</w:t>
      </w:r>
    </w:p>
    <w:p>
      <w:pPr>
        <w:pStyle w:val="ListBullet"/>
        <w:spacing w:after="40"/>
        <w:ind w:left="317" w:hanging="216"/>
      </w:pPr>
      <w:r>
        <w:rPr>
          <w:sz w:val="19"/>
        </w:rPr>
        <w:t>Uploaded content</w:t>
      </w:r>
    </w:p>
    <w:p>
      <w:pPr>
        <w:pStyle w:val="ListBullet"/>
        <w:spacing w:after="40"/>
        <w:ind w:left="317" w:hanging="216"/>
      </w:pPr>
      <w:r>
        <w:rPr>
          <w:sz w:val="19"/>
        </w:rPr>
        <w:t>Photos or captions you choose to provide</w:t>
      </w:r>
    </w:p>
    <w:p>
      <w:pPr>
        <w:pStyle w:val="ListBullet"/>
        <w:spacing w:after="40"/>
        <w:ind w:left="317" w:hanging="216"/>
      </w:pPr>
      <w:r>
        <w:rPr>
          <w:sz w:val="19"/>
        </w:rPr>
        <w:t>Love notes or message drafts</w:t>
      </w:r>
    </w:p>
    <w:p>
      <w:pPr>
        <w:pStyle w:val="ListBullet"/>
        <w:spacing w:after="40"/>
        <w:ind w:left="317" w:hanging="216"/>
      </w:pPr>
      <w:r>
        <w:rPr>
          <w:sz w:val="19"/>
        </w:rPr>
        <w:t>Gift descriptions</w:t>
      </w:r>
    </w:p>
    <w:p>
      <w:pPr>
        <w:pStyle w:val="ListBullet"/>
        <w:spacing w:after="40"/>
        <w:ind w:left="317" w:hanging="216"/>
      </w:pPr>
      <w:r>
        <w:rPr>
          <w:sz w:val="19"/>
        </w:rPr>
        <w:t>Saved AI-generated content</w:t>
      </w:r>
    </w:p>
    <w:p>
      <w:pPr>
        <w:pStyle w:val="ListBullet"/>
        <w:spacing w:after="40"/>
        <w:ind w:left="317" w:hanging="216"/>
      </w:pPr>
      <w:r>
        <w:rPr>
          <w:sz w:val="19"/>
        </w:rPr>
        <w:t>AI-generated outputs</w:t>
      </w:r>
    </w:p>
    <w:p>
      <w:pPr>
        <w:pStyle w:val="ListBullet"/>
        <w:spacing w:after="40"/>
        <w:ind w:left="317" w:hanging="216"/>
      </w:pPr>
      <w:r>
        <w:rPr>
          <w:sz w:val="19"/>
        </w:rPr>
        <w:t>Feedback on AI outputs</w:t>
      </w:r>
    </w:p>
    <w:p>
      <w:pPr>
        <w:pStyle w:val="ListBullet"/>
        <w:spacing w:after="40"/>
        <w:ind w:left="317" w:hanging="216"/>
      </w:pPr>
      <w:r>
        <w:rPr>
          <w:sz w:val="19"/>
        </w:rPr>
        <w:t>Feature interaction data</w:t>
      </w:r>
    </w:p>
    <w:p>
      <w:r>
        <w:rPr>
          <w:sz w:val="20"/>
        </w:rPr>
        <w:t>Please do not submit full payment card numbers, bank credentials, government ID numbers, passwords, protected health information, or highly sensitive information into AI prompts or other open text fields unless a feature clearly asks for that information and explains why it is needed.</w:t>
      </w:r>
    </w:p>
    <w:p>
      <w:pPr>
        <w:pStyle w:val="Heading2"/>
      </w:pPr>
      <w:r>
        <w:t>4.4 Partner Planning Information</w:t>
      </w:r>
    </w:p>
    <w:p>
      <w:r>
        <w:rPr>
          <w:sz w:val="20"/>
        </w:rPr>
        <w:t>If you use a partner planning feature, we may collect and process information related to a shared planning session, such as:</w:t>
      </w:r>
    </w:p>
    <w:p>
      <w:pPr>
        <w:pStyle w:val="ListBullet"/>
        <w:spacing w:after="40"/>
        <w:ind w:left="317" w:hanging="216"/>
      </w:pPr>
      <w:r>
        <w:rPr>
          <w:sz w:val="19"/>
        </w:rPr>
        <w:t>Your account information</w:t>
      </w:r>
    </w:p>
    <w:p>
      <w:pPr>
        <w:pStyle w:val="ListBullet"/>
        <w:spacing w:after="40"/>
        <w:ind w:left="317" w:hanging="216"/>
      </w:pPr>
      <w:r>
        <w:rPr>
          <w:sz w:val="19"/>
        </w:rPr>
        <w:t>Your partner's account information, if they participate</w:t>
      </w:r>
    </w:p>
    <w:p>
      <w:pPr>
        <w:pStyle w:val="ListBullet"/>
        <w:spacing w:after="40"/>
        <w:ind w:left="317" w:hanging="216"/>
      </w:pPr>
      <w:r>
        <w:rPr>
          <w:sz w:val="19"/>
        </w:rPr>
        <w:t>Shared planning preferences</w:t>
      </w:r>
    </w:p>
    <w:p>
      <w:pPr>
        <w:pStyle w:val="ListBullet"/>
        <w:spacing w:after="40"/>
        <w:ind w:left="317" w:hanging="216"/>
      </w:pPr>
      <w:r>
        <w:rPr>
          <w:sz w:val="19"/>
        </w:rPr>
        <w:t>Session information</w:t>
      </w:r>
    </w:p>
    <w:p>
      <w:pPr>
        <w:pStyle w:val="ListBullet"/>
        <w:spacing w:after="40"/>
        <w:ind w:left="317" w:hanging="216"/>
      </w:pPr>
      <w:r>
        <w:rPr>
          <w:sz w:val="19"/>
        </w:rPr>
        <w:t>Date ideas, votes, notes, or selections</w:t>
      </w:r>
    </w:p>
    <w:p>
      <w:pPr>
        <w:pStyle w:val="ListBullet"/>
        <w:spacing w:after="40"/>
        <w:ind w:left="317" w:hanging="216"/>
      </w:pPr>
      <w:r>
        <w:rPr>
          <w:sz w:val="19"/>
        </w:rPr>
        <w:t>Invitations sent through the Service</w:t>
      </w:r>
    </w:p>
    <w:p>
      <w:r>
        <w:rPr>
          <w:sz w:val="20"/>
        </w:rPr>
        <w:t>You are responsible for making sure any person you invite has agreed to participate and understands that their information may be processed as part of the shared planning feature.</w:t>
      </w:r>
    </w:p>
    <w:p>
      <w:pPr>
        <w:pStyle w:val="Heading2"/>
      </w:pPr>
      <w:r>
        <w:t>4.5 Memories, Photos, and User Content</w:t>
      </w:r>
    </w:p>
    <w:p>
      <w:r>
        <w:rPr>
          <w:sz w:val="20"/>
        </w:rPr>
        <w:t>If you use memory or content features, we may collect:</w:t>
      </w:r>
    </w:p>
    <w:p>
      <w:pPr>
        <w:pStyle w:val="ListBullet"/>
        <w:spacing w:after="40"/>
        <w:ind w:left="317" w:hanging="216"/>
      </w:pPr>
      <w:r>
        <w:rPr>
          <w:sz w:val="19"/>
        </w:rPr>
        <w:t>Photos you choose to upload or save</w:t>
      </w:r>
    </w:p>
    <w:p>
      <w:pPr>
        <w:pStyle w:val="ListBullet"/>
        <w:spacing w:after="40"/>
        <w:ind w:left="317" w:hanging="216"/>
      </w:pPr>
      <w:r>
        <w:rPr>
          <w:sz w:val="19"/>
        </w:rPr>
        <w:t>Captions</w:t>
      </w:r>
    </w:p>
    <w:p>
      <w:pPr>
        <w:pStyle w:val="ListBullet"/>
        <w:spacing w:after="40"/>
        <w:ind w:left="317" w:hanging="216"/>
      </w:pPr>
      <w:r>
        <w:rPr>
          <w:sz w:val="19"/>
        </w:rPr>
        <w:t>Dates</w:t>
      </w:r>
    </w:p>
    <w:p>
      <w:pPr>
        <w:pStyle w:val="ListBullet"/>
        <w:spacing w:after="40"/>
        <w:ind w:left="317" w:hanging="216"/>
      </w:pPr>
      <w:r>
        <w:rPr>
          <w:sz w:val="19"/>
        </w:rPr>
        <w:t>Notes</w:t>
      </w:r>
    </w:p>
    <w:p>
      <w:pPr>
        <w:pStyle w:val="ListBullet"/>
        <w:spacing w:after="40"/>
        <w:ind w:left="317" w:hanging="216"/>
      </w:pPr>
      <w:r>
        <w:rPr>
          <w:sz w:val="19"/>
        </w:rPr>
        <w:t>Saved plans</w:t>
      </w:r>
    </w:p>
    <w:p>
      <w:pPr>
        <w:pStyle w:val="ListBullet"/>
        <w:spacing w:after="40"/>
        <w:ind w:left="317" w:hanging="216"/>
      </w:pPr>
      <w:r>
        <w:rPr>
          <w:sz w:val="19"/>
        </w:rPr>
        <w:t>Generated images or text, if available</w:t>
      </w:r>
    </w:p>
    <w:p>
      <w:pPr>
        <w:pStyle w:val="ListBullet"/>
        <w:spacing w:after="40"/>
        <w:ind w:left="317" w:hanging="216"/>
      </w:pPr>
      <w:r>
        <w:rPr>
          <w:sz w:val="19"/>
        </w:rPr>
        <w:t>Other content you choose to store in the Service</w:t>
      </w:r>
    </w:p>
    <w:p>
      <w:r>
        <w:rPr>
          <w:sz w:val="20"/>
        </w:rPr>
        <w:t>We do not need access to your entire photo library unless you grant it through your device settings. We process only the photos or files you choose to upload, save, or otherwise use with the Service.</w:t>
      </w:r>
    </w:p>
    <w:p>
      <w:pPr>
        <w:pStyle w:val="Heading2"/>
      </w:pPr>
      <w:r>
        <w:t>4.6 Payment and PCI-Related Information</w:t>
      </w:r>
    </w:p>
    <w:p>
      <w:r>
        <w:rPr>
          <w:sz w:val="20"/>
        </w:rPr>
        <w:t>If you purchase a subscription, make an in-app purchase, or otherwise pay for the Service, payment information may be collected or processed. Depending on the payment method and product flow, this may include:</w:t>
      </w:r>
    </w:p>
    <w:p>
      <w:pPr>
        <w:pStyle w:val="ListBullet"/>
        <w:spacing w:after="40"/>
        <w:ind w:left="317" w:hanging="216"/>
      </w:pPr>
      <w:r>
        <w:rPr>
          <w:sz w:val="19"/>
        </w:rPr>
        <w:t>Cardholder name</w:t>
      </w:r>
    </w:p>
    <w:p>
      <w:pPr>
        <w:pStyle w:val="ListBullet"/>
        <w:spacing w:after="40"/>
        <w:ind w:left="317" w:hanging="216"/>
      </w:pPr>
      <w:r>
        <w:rPr>
          <w:sz w:val="19"/>
        </w:rPr>
        <w:t>Billing address</w:t>
      </w:r>
    </w:p>
    <w:p>
      <w:pPr>
        <w:pStyle w:val="ListBullet"/>
        <w:spacing w:after="40"/>
        <w:ind w:left="317" w:hanging="216"/>
      </w:pPr>
      <w:r>
        <w:rPr>
          <w:sz w:val="19"/>
        </w:rPr>
        <w:t>Payment card number</w:t>
      </w:r>
    </w:p>
    <w:p>
      <w:pPr>
        <w:pStyle w:val="ListBullet"/>
        <w:spacing w:after="40"/>
        <w:ind w:left="317" w:hanging="216"/>
      </w:pPr>
      <w:r>
        <w:rPr>
          <w:sz w:val="19"/>
        </w:rPr>
        <w:t>Expiration date</w:t>
      </w:r>
    </w:p>
    <w:p>
      <w:pPr>
        <w:pStyle w:val="ListBullet"/>
        <w:spacing w:after="40"/>
        <w:ind w:left="317" w:hanging="216"/>
      </w:pPr>
      <w:r>
        <w:rPr>
          <w:sz w:val="19"/>
        </w:rPr>
        <w:t>Card verification code, when needed for authorization</w:t>
      </w:r>
    </w:p>
    <w:p>
      <w:pPr>
        <w:pStyle w:val="ListBullet"/>
        <w:spacing w:after="40"/>
        <w:ind w:left="317" w:hanging="216"/>
      </w:pPr>
      <w:r>
        <w:rPr>
          <w:sz w:val="19"/>
        </w:rPr>
        <w:t>Transaction amount</w:t>
      </w:r>
    </w:p>
    <w:p>
      <w:pPr>
        <w:pStyle w:val="ListBullet"/>
        <w:spacing w:after="40"/>
        <w:ind w:left="317" w:hanging="216"/>
      </w:pPr>
      <w:r>
        <w:rPr>
          <w:sz w:val="19"/>
        </w:rPr>
        <w:t>Transaction date</w:t>
      </w:r>
    </w:p>
    <w:p>
      <w:pPr>
        <w:pStyle w:val="ListBullet"/>
        <w:spacing w:after="40"/>
        <w:ind w:left="317" w:hanging="216"/>
      </w:pPr>
      <w:r>
        <w:rPr>
          <w:sz w:val="19"/>
        </w:rPr>
        <w:t>Payment token</w:t>
      </w:r>
    </w:p>
    <w:p>
      <w:pPr>
        <w:pStyle w:val="ListBullet"/>
        <w:spacing w:after="40"/>
        <w:ind w:left="317" w:hanging="216"/>
      </w:pPr>
      <w:r>
        <w:rPr>
          <w:sz w:val="19"/>
        </w:rPr>
        <w:t>Processor-issued identifier</w:t>
      </w:r>
    </w:p>
    <w:p>
      <w:pPr>
        <w:pStyle w:val="ListBullet"/>
        <w:spacing w:after="40"/>
        <w:ind w:left="317" w:hanging="216"/>
      </w:pPr>
      <w:r>
        <w:rPr>
          <w:sz w:val="19"/>
        </w:rPr>
        <w:t>App Store transaction identifier</w:t>
      </w:r>
    </w:p>
    <w:p>
      <w:pPr>
        <w:pStyle w:val="ListBullet"/>
        <w:spacing w:after="40"/>
        <w:ind w:left="317" w:hanging="216"/>
      </w:pPr>
      <w:r>
        <w:rPr>
          <w:sz w:val="19"/>
        </w:rPr>
        <w:t>Subscription status</w:t>
      </w:r>
    </w:p>
    <w:p>
      <w:pPr>
        <w:pStyle w:val="ListBullet"/>
        <w:spacing w:after="40"/>
        <w:ind w:left="317" w:hanging="216"/>
      </w:pPr>
      <w:r>
        <w:rPr>
          <w:sz w:val="19"/>
        </w:rPr>
        <w:t>Refund history</w:t>
      </w:r>
    </w:p>
    <w:p>
      <w:pPr>
        <w:pStyle w:val="ListBullet"/>
        <w:spacing w:after="40"/>
        <w:ind w:left="317" w:hanging="216"/>
      </w:pPr>
      <w:r>
        <w:rPr>
          <w:sz w:val="19"/>
        </w:rPr>
        <w:t>Chargeback history</w:t>
      </w:r>
    </w:p>
    <w:p>
      <w:pPr>
        <w:pStyle w:val="ListBullet"/>
        <w:spacing w:after="40"/>
        <w:ind w:left="317" w:hanging="216"/>
      </w:pPr>
      <w:r>
        <w:rPr>
          <w:sz w:val="19"/>
        </w:rPr>
        <w:t>Payment status</w:t>
      </w:r>
    </w:p>
    <w:p>
      <w:r>
        <w:rPr>
          <w:sz w:val="20"/>
        </w:rPr>
        <w:t>We use PCI-compliant payment flows and payment processors where possible. We do not ask you to send card numbers through AI prompts, email, chat, support tickets, surveys, or other free-text fields. If you send payment card information through one of those channels, we may delete, redact, restrict, or securely handle it.</w:t>
      </w:r>
    </w:p>
    <w:p>
      <w:r>
        <w:rPr>
          <w:sz w:val="20"/>
        </w:rPr>
        <w:t>We do not store sensitive authentication data, such as full card verification codes, after authorization unless permitted by law and payment network rules and required for a specific payment purpose.</w:t>
      </w:r>
    </w:p>
    <w:p>
      <w:pPr>
        <w:pStyle w:val="Heading2"/>
      </w:pPr>
      <w:r>
        <w:t>4.7 Customer Support and Communications</w:t>
      </w:r>
    </w:p>
    <w:p>
      <w:r>
        <w:rPr>
          <w:sz w:val="20"/>
        </w:rPr>
        <w:t>If you contact us, we may collect:</w:t>
      </w:r>
    </w:p>
    <w:p>
      <w:pPr>
        <w:pStyle w:val="ListBullet"/>
        <w:spacing w:after="40"/>
        <w:ind w:left="317" w:hanging="216"/>
      </w:pPr>
      <w:r>
        <w:rPr>
          <w:sz w:val="19"/>
        </w:rPr>
        <w:t>Your name</w:t>
      </w:r>
    </w:p>
    <w:p>
      <w:pPr>
        <w:pStyle w:val="ListBullet"/>
        <w:spacing w:after="40"/>
        <w:ind w:left="317" w:hanging="216"/>
      </w:pPr>
      <w:r>
        <w:rPr>
          <w:sz w:val="19"/>
        </w:rPr>
        <w:t>Email address</w:t>
      </w:r>
    </w:p>
    <w:p>
      <w:pPr>
        <w:pStyle w:val="ListBullet"/>
        <w:spacing w:after="40"/>
        <w:ind w:left="317" w:hanging="216"/>
      </w:pPr>
      <w:r>
        <w:rPr>
          <w:sz w:val="19"/>
        </w:rPr>
        <w:t>Message content</w:t>
      </w:r>
    </w:p>
    <w:p>
      <w:pPr>
        <w:pStyle w:val="ListBullet"/>
        <w:spacing w:after="40"/>
        <w:ind w:left="317" w:hanging="216"/>
      </w:pPr>
      <w:r>
        <w:rPr>
          <w:sz w:val="19"/>
        </w:rPr>
        <w:t>Support request details</w:t>
      </w:r>
    </w:p>
    <w:p>
      <w:pPr>
        <w:pStyle w:val="ListBullet"/>
        <w:spacing w:after="40"/>
        <w:ind w:left="317" w:hanging="216"/>
      </w:pPr>
      <w:r>
        <w:rPr>
          <w:sz w:val="19"/>
        </w:rPr>
        <w:t>Attachments you provide</w:t>
      </w:r>
    </w:p>
    <w:p>
      <w:pPr>
        <w:pStyle w:val="ListBullet"/>
        <w:spacing w:after="40"/>
        <w:ind w:left="317" w:hanging="216"/>
      </w:pPr>
      <w:r>
        <w:rPr>
          <w:sz w:val="19"/>
        </w:rPr>
        <w:t>Troubleshooting information</w:t>
      </w:r>
    </w:p>
    <w:p>
      <w:pPr>
        <w:pStyle w:val="ListBullet"/>
        <w:spacing w:after="40"/>
        <w:ind w:left="317" w:hanging="216"/>
      </w:pPr>
      <w:r>
        <w:rPr>
          <w:sz w:val="19"/>
        </w:rPr>
        <w:t>Communications history</w:t>
      </w:r>
    </w:p>
    <w:p>
      <w:pPr>
        <w:pStyle w:val="ListBullet"/>
        <w:spacing w:after="40"/>
        <w:ind w:left="317" w:hanging="216"/>
      </w:pPr>
      <w:r>
        <w:rPr>
          <w:sz w:val="19"/>
        </w:rPr>
        <w:t>Feedback</w:t>
      </w:r>
    </w:p>
    <w:p>
      <w:pPr>
        <w:pStyle w:val="ListBullet"/>
        <w:spacing w:after="40"/>
        <w:ind w:left="317" w:hanging="216"/>
      </w:pPr>
      <w:r>
        <w:rPr>
          <w:sz w:val="19"/>
        </w:rPr>
        <w:t>Complaint details</w:t>
      </w:r>
    </w:p>
    <w:p>
      <w:pPr>
        <w:pStyle w:val="Heading2"/>
      </w:pPr>
      <w:r>
        <w:t>4.8 Information Collected Automatically</w:t>
      </w:r>
    </w:p>
    <w:p>
      <w:r>
        <w:rPr>
          <w:sz w:val="20"/>
        </w:rPr>
        <w:t>When you use the Service, we may automatically collect:</w:t>
      </w:r>
    </w:p>
    <w:p>
      <w:pPr>
        <w:pStyle w:val="ListBullet"/>
        <w:spacing w:after="40"/>
        <w:ind w:left="317" w:hanging="216"/>
      </w:pPr>
      <w:r>
        <w:rPr>
          <w:sz w:val="19"/>
        </w:rPr>
        <w:t>Device type</w:t>
      </w:r>
    </w:p>
    <w:p>
      <w:pPr>
        <w:pStyle w:val="ListBullet"/>
        <w:spacing w:after="40"/>
        <w:ind w:left="317" w:hanging="216"/>
      </w:pPr>
      <w:r>
        <w:rPr>
          <w:sz w:val="19"/>
        </w:rPr>
        <w:t>Operating system</w:t>
      </w:r>
    </w:p>
    <w:p>
      <w:pPr>
        <w:pStyle w:val="ListBullet"/>
        <w:spacing w:after="40"/>
        <w:ind w:left="317" w:hanging="216"/>
      </w:pPr>
      <w:r>
        <w:rPr>
          <w:sz w:val="19"/>
        </w:rPr>
        <w:t>App version</w:t>
      </w:r>
    </w:p>
    <w:p>
      <w:pPr>
        <w:pStyle w:val="ListBullet"/>
        <w:spacing w:after="40"/>
        <w:ind w:left="317" w:hanging="216"/>
      </w:pPr>
      <w:r>
        <w:rPr>
          <w:sz w:val="19"/>
        </w:rPr>
        <w:t>Browser type</w:t>
      </w:r>
    </w:p>
    <w:p>
      <w:pPr>
        <w:pStyle w:val="ListBullet"/>
        <w:spacing w:after="40"/>
        <w:ind w:left="317" w:hanging="216"/>
      </w:pPr>
      <w:r>
        <w:rPr>
          <w:sz w:val="19"/>
        </w:rPr>
        <w:t>Language settings</w:t>
      </w:r>
    </w:p>
    <w:p>
      <w:pPr>
        <w:pStyle w:val="ListBullet"/>
        <w:spacing w:after="40"/>
        <w:ind w:left="317" w:hanging="216"/>
      </w:pPr>
      <w:r>
        <w:rPr>
          <w:sz w:val="19"/>
        </w:rPr>
        <w:t>IP address</w:t>
      </w:r>
    </w:p>
    <w:p>
      <w:pPr>
        <w:pStyle w:val="ListBullet"/>
        <w:spacing w:after="40"/>
        <w:ind w:left="317" w:hanging="216"/>
      </w:pPr>
      <w:r>
        <w:rPr>
          <w:sz w:val="19"/>
        </w:rPr>
        <w:t>Approximate location derived from IP address</w:t>
      </w:r>
    </w:p>
    <w:p>
      <w:pPr>
        <w:pStyle w:val="ListBullet"/>
        <w:spacing w:after="40"/>
        <w:ind w:left="317" w:hanging="216"/>
      </w:pPr>
      <w:r>
        <w:rPr>
          <w:sz w:val="19"/>
        </w:rPr>
        <w:t>Pages or screens viewed</w:t>
      </w:r>
    </w:p>
    <w:p>
      <w:pPr>
        <w:pStyle w:val="ListBullet"/>
        <w:spacing w:after="40"/>
        <w:ind w:left="317" w:hanging="216"/>
      </w:pPr>
      <w:r>
        <w:rPr>
          <w:sz w:val="19"/>
        </w:rPr>
        <w:t>Buttons or features used</w:t>
      </w:r>
    </w:p>
    <w:p>
      <w:pPr>
        <w:pStyle w:val="ListBullet"/>
        <w:spacing w:after="40"/>
        <w:ind w:left="317" w:hanging="216"/>
      </w:pPr>
      <w:r>
        <w:rPr>
          <w:sz w:val="19"/>
        </w:rPr>
        <w:t>Session activity</w:t>
      </w:r>
    </w:p>
    <w:p>
      <w:pPr>
        <w:pStyle w:val="ListBullet"/>
        <w:spacing w:after="40"/>
        <w:ind w:left="317" w:hanging="216"/>
      </w:pPr>
      <w:r>
        <w:rPr>
          <w:sz w:val="19"/>
        </w:rPr>
        <w:t>Date and time of access</w:t>
      </w:r>
    </w:p>
    <w:p>
      <w:pPr>
        <w:pStyle w:val="ListBullet"/>
        <w:spacing w:after="40"/>
        <w:ind w:left="317" w:hanging="216"/>
      </w:pPr>
      <w:r>
        <w:rPr>
          <w:sz w:val="19"/>
        </w:rPr>
        <w:t>Crash reports</w:t>
      </w:r>
    </w:p>
    <w:p>
      <w:pPr>
        <w:pStyle w:val="ListBullet"/>
        <w:spacing w:after="40"/>
        <w:ind w:left="317" w:hanging="216"/>
      </w:pPr>
      <w:r>
        <w:rPr>
          <w:sz w:val="19"/>
        </w:rPr>
        <w:t>Diagnostic logs</w:t>
      </w:r>
    </w:p>
    <w:p>
      <w:pPr>
        <w:pStyle w:val="ListBullet"/>
        <w:spacing w:after="40"/>
        <w:ind w:left="317" w:hanging="216"/>
      </w:pPr>
      <w:r>
        <w:rPr>
          <w:sz w:val="19"/>
        </w:rPr>
        <w:t>Performance data</w:t>
      </w:r>
    </w:p>
    <w:p>
      <w:pPr>
        <w:pStyle w:val="ListBullet"/>
        <w:spacing w:after="40"/>
        <w:ind w:left="317" w:hanging="216"/>
      </w:pPr>
      <w:r>
        <w:rPr>
          <w:sz w:val="19"/>
        </w:rPr>
        <w:t>Security logs</w:t>
      </w:r>
    </w:p>
    <w:p>
      <w:pPr>
        <w:pStyle w:val="ListBullet"/>
        <w:spacing w:after="40"/>
        <w:ind w:left="317" w:hanging="216"/>
      </w:pPr>
      <w:r>
        <w:rPr>
          <w:sz w:val="19"/>
        </w:rPr>
        <w:t>Authentication events</w:t>
      </w:r>
    </w:p>
    <w:p>
      <w:pPr>
        <w:pStyle w:val="ListBullet"/>
        <w:spacing w:after="40"/>
        <w:ind w:left="317" w:hanging="216"/>
      </w:pPr>
      <w:r>
        <w:rPr>
          <w:sz w:val="19"/>
        </w:rPr>
        <w:t>Cookie and similar technology data</w:t>
      </w:r>
    </w:p>
    <w:p>
      <w:pPr>
        <w:pStyle w:val="ListBullet"/>
        <w:spacing w:after="40"/>
        <w:ind w:left="317" w:hanging="216"/>
      </w:pPr>
      <w:r>
        <w:rPr>
          <w:sz w:val="19"/>
        </w:rPr>
        <w:t>Referral URLs</w:t>
      </w:r>
    </w:p>
    <w:p>
      <w:pPr>
        <w:pStyle w:val="ListBullet"/>
        <w:spacing w:after="40"/>
        <w:ind w:left="317" w:hanging="216"/>
      </w:pPr>
      <w:r>
        <w:rPr>
          <w:sz w:val="19"/>
        </w:rPr>
        <w:t>Error messages</w:t>
      </w:r>
    </w:p>
    <w:p>
      <w:pPr>
        <w:pStyle w:val="Heading2"/>
      </w:pPr>
      <w:r>
        <w:t>4.9 Location, Calendar, and Device Permissions</w:t>
      </w:r>
    </w:p>
    <w:p>
      <w:r>
        <w:rPr>
          <w:sz w:val="20"/>
        </w:rPr>
        <w:t>Some features may ask for device permissions.</w:t>
      </w:r>
    </w:p>
    <w:p>
      <w:r>
        <w:rPr>
          <w:b/>
          <w:sz w:val="20"/>
        </w:rPr>
        <w:t>Location:</w:t>
      </w:r>
      <w:r>
        <w:rPr>
          <w:sz w:val="20"/>
        </w:rPr>
        <w:t xml:space="preserve"> We may use approximate city, region, or neighborhood to suggest nearby venues or plans. We do not need continuous GPS tracking to provide the Service. If we request precise location in the future, we will do so only with permission and for the feature described.</w:t>
      </w:r>
    </w:p>
    <w:p>
      <w:r>
        <w:rPr>
          <w:b/>
          <w:sz w:val="20"/>
        </w:rPr>
        <w:t>Calendar:</w:t>
      </w:r>
      <w:r>
        <w:rPr>
          <w:sz w:val="20"/>
        </w:rPr>
        <w:t xml:space="preserve"> If you choose to save a plan to your calendar, calendar access is used for that action. We do not need to upload your entire calendar to provide this feature.</w:t>
      </w:r>
    </w:p>
    <w:p>
      <w:r>
        <w:rPr>
          <w:b/>
          <w:sz w:val="20"/>
        </w:rPr>
        <w:t>Photos:</w:t>
      </w:r>
      <w:r>
        <w:rPr>
          <w:sz w:val="20"/>
        </w:rPr>
        <w:t xml:space="preserve"> If you choose to save, upload, or use photos, we process the photos you select. We do not need access to your full photo library unless you grant that permission.</w:t>
      </w:r>
    </w:p>
    <w:p>
      <w:r>
        <w:rPr>
          <w:b/>
          <w:sz w:val="20"/>
        </w:rPr>
        <w:t>Notifications:</w:t>
      </w:r>
      <w:r>
        <w:rPr>
          <w:sz w:val="20"/>
        </w:rPr>
        <w:t xml:space="preserve"> If you allow notifications, we may send reminders, service notices, and account-related messages. You can adjust notification permissions in your device settings.</w:t>
      </w:r>
    </w:p>
    <w:p>
      <w:pPr>
        <w:pStyle w:val="Heading2"/>
      </w:pPr>
      <w:r>
        <w:t>4.10 Information From Third Parties</w:t>
      </w:r>
    </w:p>
    <w:p>
      <w:r>
        <w:rPr>
          <w:b/>
          <w:sz w:val="20"/>
        </w:rPr>
        <w:t>We may receive information from:</w:t>
      </w:r>
      <w:r>
        <w:rPr>
          <w:sz w:val="20"/>
        </w:rPr>
      </w:r>
    </w:p>
    <w:p>
      <w:pPr>
        <w:pStyle w:val="ListBullet"/>
        <w:spacing w:after="40"/>
        <w:ind w:left="317" w:hanging="216"/>
      </w:pPr>
      <w:r>
        <w:rPr>
          <w:sz w:val="19"/>
        </w:rPr>
        <w:t>Apple, Google, or other sign-in providers</w:t>
      </w:r>
    </w:p>
    <w:p>
      <w:pPr>
        <w:pStyle w:val="ListBullet"/>
        <w:spacing w:after="40"/>
        <w:ind w:left="317" w:hanging="216"/>
      </w:pPr>
      <w:r>
        <w:rPr>
          <w:sz w:val="19"/>
        </w:rPr>
        <w:t>Apple App Store, StoreKit, or other payment providers</w:t>
      </w:r>
    </w:p>
    <w:p>
      <w:pPr>
        <w:pStyle w:val="ListBullet"/>
        <w:spacing w:after="40"/>
        <w:ind w:left="317" w:hanging="216"/>
      </w:pPr>
      <w:r>
        <w:rPr>
          <w:sz w:val="19"/>
        </w:rPr>
        <w:t>Payment processors</w:t>
      </w:r>
    </w:p>
    <w:p>
      <w:pPr>
        <w:pStyle w:val="ListBullet"/>
        <w:spacing w:after="40"/>
        <w:ind w:left="317" w:hanging="216"/>
      </w:pPr>
      <w:r>
        <w:rPr>
          <w:sz w:val="19"/>
        </w:rPr>
        <w:t>Analytics providers</w:t>
      </w:r>
    </w:p>
    <w:p>
      <w:pPr>
        <w:pStyle w:val="ListBullet"/>
        <w:spacing w:after="40"/>
        <w:ind w:left="317" w:hanging="216"/>
      </w:pPr>
      <w:r>
        <w:rPr>
          <w:sz w:val="19"/>
        </w:rPr>
        <w:t>Security and fraud prevention providers</w:t>
      </w:r>
    </w:p>
    <w:p>
      <w:pPr>
        <w:pStyle w:val="ListBullet"/>
        <w:spacing w:after="40"/>
        <w:ind w:left="317" w:hanging="216"/>
      </w:pPr>
      <w:r>
        <w:rPr>
          <w:sz w:val="19"/>
        </w:rPr>
        <w:t>Hosting and infrastructure providers</w:t>
      </w:r>
    </w:p>
    <w:p>
      <w:pPr>
        <w:pStyle w:val="ListBullet"/>
        <w:spacing w:after="40"/>
        <w:ind w:left="317" w:hanging="216"/>
      </w:pPr>
      <w:r>
        <w:rPr>
          <w:sz w:val="19"/>
        </w:rPr>
        <w:t>Customer support tools</w:t>
      </w:r>
    </w:p>
    <w:p>
      <w:pPr>
        <w:pStyle w:val="ListBullet"/>
        <w:spacing w:after="40"/>
        <w:ind w:left="317" w:hanging="216"/>
      </w:pPr>
      <w:r>
        <w:rPr>
          <w:sz w:val="19"/>
        </w:rPr>
        <w:t>Email providers</w:t>
      </w:r>
    </w:p>
    <w:p>
      <w:pPr>
        <w:pStyle w:val="ListBullet"/>
        <w:spacing w:after="40"/>
        <w:ind w:left="317" w:hanging="216"/>
      </w:pPr>
      <w:r>
        <w:rPr>
          <w:sz w:val="19"/>
        </w:rPr>
        <w:t>Business partners</w:t>
      </w:r>
    </w:p>
    <w:p>
      <w:pPr>
        <w:pStyle w:val="ListBullet"/>
        <w:spacing w:after="40"/>
        <w:ind w:left="317" w:hanging="216"/>
      </w:pPr>
      <w:r>
        <w:rPr>
          <w:sz w:val="19"/>
        </w:rPr>
        <w:t>Enterprise customers, if applicable</w:t>
      </w:r>
    </w:p>
    <w:p>
      <w:pPr>
        <w:pStyle w:val="ListBullet"/>
        <w:spacing w:after="40"/>
        <w:ind w:left="317" w:hanging="216"/>
      </w:pPr>
      <w:r>
        <w:rPr>
          <w:sz w:val="19"/>
        </w:rPr>
        <w:t>Publicly available sources, where permitted by law</w:t>
      </w:r>
    </w:p>
    <w:p>
      <w:pPr>
        <w:pStyle w:val="Heading1"/>
      </w:pPr>
      <w:r>
        <w:t>5. Information We Do Not Want You to Submit</w:t>
      </w:r>
    </w:p>
    <w:p>
      <w:r>
        <w:rPr>
          <w:sz w:val="20"/>
        </w:rPr>
        <w:t>Unless a feature clearly asks for it, please do not submit the following into AI prompts, free-text fields, support tickets, email, chat, surveys, or messages:</w:t>
      </w:r>
    </w:p>
    <w:p>
      <w:pPr>
        <w:pStyle w:val="ListBullet"/>
        <w:spacing w:after="40"/>
        <w:ind w:left="317" w:hanging="216"/>
      </w:pPr>
      <w:r>
        <w:rPr>
          <w:sz w:val="19"/>
        </w:rPr>
        <w:t>Full payment card numbers</w:t>
      </w:r>
    </w:p>
    <w:p>
      <w:pPr>
        <w:pStyle w:val="ListBullet"/>
        <w:spacing w:after="40"/>
        <w:ind w:left="317" w:hanging="216"/>
      </w:pPr>
      <w:r>
        <w:rPr>
          <w:sz w:val="19"/>
        </w:rPr>
        <w:t>Card security codes</w:t>
      </w:r>
    </w:p>
    <w:p>
      <w:pPr>
        <w:pStyle w:val="ListBullet"/>
        <w:spacing w:after="40"/>
        <w:ind w:left="317" w:hanging="216"/>
      </w:pPr>
      <w:r>
        <w:rPr>
          <w:sz w:val="19"/>
        </w:rPr>
        <w:t>Bank account credentials</w:t>
      </w:r>
    </w:p>
    <w:p>
      <w:pPr>
        <w:pStyle w:val="ListBullet"/>
        <w:spacing w:after="40"/>
        <w:ind w:left="317" w:hanging="216"/>
      </w:pPr>
      <w:r>
        <w:rPr>
          <w:sz w:val="19"/>
        </w:rPr>
        <w:t>Social Security numbers</w:t>
      </w:r>
    </w:p>
    <w:p>
      <w:pPr>
        <w:pStyle w:val="ListBullet"/>
        <w:spacing w:after="40"/>
        <w:ind w:left="317" w:hanging="216"/>
      </w:pPr>
      <w:r>
        <w:rPr>
          <w:sz w:val="19"/>
        </w:rPr>
        <w:t>National ID numbers</w:t>
      </w:r>
    </w:p>
    <w:p>
      <w:pPr>
        <w:pStyle w:val="ListBullet"/>
        <w:spacing w:after="40"/>
        <w:ind w:left="317" w:hanging="216"/>
      </w:pPr>
      <w:r>
        <w:rPr>
          <w:sz w:val="19"/>
        </w:rPr>
        <w:t>Passport numbers</w:t>
      </w:r>
    </w:p>
    <w:p>
      <w:pPr>
        <w:pStyle w:val="ListBullet"/>
        <w:spacing w:after="40"/>
        <w:ind w:left="317" w:hanging="216"/>
      </w:pPr>
      <w:r>
        <w:rPr>
          <w:sz w:val="19"/>
        </w:rPr>
        <w:t>Driver's license numbers</w:t>
      </w:r>
    </w:p>
    <w:p>
      <w:pPr>
        <w:pStyle w:val="ListBullet"/>
        <w:spacing w:after="40"/>
        <w:ind w:left="317" w:hanging="216"/>
      </w:pPr>
      <w:r>
        <w:rPr>
          <w:sz w:val="19"/>
        </w:rPr>
        <w:t>Passwords for third-party accounts</w:t>
      </w:r>
    </w:p>
    <w:p>
      <w:pPr>
        <w:pStyle w:val="ListBullet"/>
        <w:spacing w:after="40"/>
        <w:ind w:left="317" w:hanging="216"/>
      </w:pPr>
      <w:r>
        <w:rPr>
          <w:sz w:val="19"/>
        </w:rPr>
        <w:t>Protected health information</w:t>
      </w:r>
    </w:p>
    <w:p>
      <w:pPr>
        <w:pStyle w:val="ListBullet"/>
        <w:spacing w:after="40"/>
        <w:ind w:left="317" w:hanging="216"/>
      </w:pPr>
      <w:r>
        <w:rPr>
          <w:sz w:val="19"/>
        </w:rPr>
        <w:t>Precise location history</w:t>
      </w:r>
    </w:p>
    <w:p>
      <w:pPr>
        <w:pStyle w:val="ListBullet"/>
        <w:spacing w:after="40"/>
        <w:ind w:left="317" w:hanging="216"/>
      </w:pPr>
      <w:r>
        <w:rPr>
          <w:sz w:val="19"/>
        </w:rPr>
        <w:t>Information about children</w:t>
      </w:r>
    </w:p>
    <w:p>
      <w:pPr>
        <w:pStyle w:val="ListBullet"/>
        <w:spacing w:after="40"/>
        <w:ind w:left="317" w:hanging="216"/>
      </w:pPr>
      <w:r>
        <w:rPr>
          <w:sz w:val="19"/>
        </w:rPr>
        <w:t>Highly sensitive information about another person without their permission</w:t>
      </w:r>
    </w:p>
    <w:p>
      <w:pPr>
        <w:pStyle w:val="ListBullet"/>
        <w:spacing w:after="40"/>
        <w:ind w:left="317" w:hanging="216"/>
      </w:pPr>
      <w:r>
        <w:rPr>
          <w:sz w:val="19"/>
        </w:rPr>
        <w:t>Confidential information that you are not authorized to share</w:t>
      </w:r>
    </w:p>
    <w:p>
      <w:r>
        <w:rPr>
          <w:sz w:val="20"/>
        </w:rPr>
        <w:t>If you submit information that is not needed for the Service, we may delete, redact, de-identify, restrict, or decline to process it.</w:t>
      </w:r>
    </w:p>
    <w:p>
      <w:pPr>
        <w:pStyle w:val="Heading1"/>
      </w:pPr>
      <w:r>
        <w:t>6. Sensitive Personal Information</w:t>
      </w:r>
    </w:p>
    <w:p>
      <w:r>
        <w:rPr>
          <w:sz w:val="20"/>
        </w:rPr>
        <w:t>Some information may be considered sensitive under certain laws. Depending on how you use the Service, this may include:</w:t>
      </w:r>
    </w:p>
    <w:p>
      <w:pPr>
        <w:pStyle w:val="ListBullet"/>
        <w:spacing w:after="40"/>
        <w:ind w:left="317" w:hanging="216"/>
      </w:pPr>
      <w:r>
        <w:rPr>
          <w:sz w:val="19"/>
        </w:rPr>
        <w:t>Payment card information</w:t>
      </w:r>
    </w:p>
    <w:p>
      <w:pPr>
        <w:pStyle w:val="ListBullet"/>
        <w:spacing w:after="40"/>
        <w:ind w:left="317" w:hanging="216"/>
      </w:pPr>
      <w:r>
        <w:rPr>
          <w:sz w:val="19"/>
        </w:rPr>
        <w:t>Account login credentials</w:t>
      </w:r>
    </w:p>
    <w:p>
      <w:pPr>
        <w:pStyle w:val="ListBullet"/>
        <w:spacing w:after="40"/>
        <w:ind w:left="317" w:hanging="216"/>
      </w:pPr>
      <w:r>
        <w:rPr>
          <w:sz w:val="19"/>
        </w:rPr>
        <w:t>Precise location, if ever enabled</w:t>
      </w:r>
    </w:p>
    <w:p>
      <w:pPr>
        <w:pStyle w:val="ListBullet"/>
        <w:spacing w:after="40"/>
        <w:ind w:left="317" w:hanging="216"/>
      </w:pPr>
      <w:r>
        <w:rPr>
          <w:sz w:val="19"/>
        </w:rPr>
        <w:t>Sensitive preferences you choose to provide</w:t>
      </w:r>
    </w:p>
    <w:p>
      <w:pPr>
        <w:pStyle w:val="ListBullet"/>
        <w:spacing w:after="40"/>
        <w:ind w:left="317" w:hanging="216"/>
      </w:pPr>
      <w:r>
        <w:rPr>
          <w:sz w:val="19"/>
        </w:rPr>
        <w:t>Photos or content you upload</w:t>
      </w:r>
    </w:p>
    <w:p>
      <w:pPr>
        <w:pStyle w:val="ListBullet"/>
        <w:spacing w:after="40"/>
        <w:ind w:left="317" w:hanging="216"/>
      </w:pPr>
      <w:r>
        <w:rPr>
          <w:sz w:val="19"/>
        </w:rPr>
        <w:t>Information about another person that you choose to provide</w:t>
      </w:r>
    </w:p>
    <w:p>
      <w:r>
        <w:rPr>
          <w:sz w:val="20"/>
        </w:rPr>
        <w:t>We use sensitive personal information only as needed to provide the Service, process payments, secure accounts, comply with law, or for another purpose disclosed to you. We do not use sensitive personal information to infer characteristics about you unless permitted by law or with your consent where required.</w:t>
      </w:r>
    </w:p>
    <w:p>
      <w:pPr>
        <w:pStyle w:val="Heading1"/>
      </w:pPr>
      <w:r>
        <w:t>7. How We Use Personal Information</w:t>
      </w:r>
    </w:p>
    <w:p>
      <w:r>
        <w:rPr>
          <w:sz w:val="20"/>
        </w:rPr>
        <w:t>We use personal information for the purposes below.</w:t>
      </w:r>
    </w:p>
    <w:p>
      <w:pPr>
        <w:pStyle w:val="Heading2"/>
      </w:pPr>
      <w:r>
        <w:t>7.1 To Provide and Operate the Service</w:t>
      </w:r>
    </w:p>
    <w:p>
      <w:r>
        <w:rPr>
          <w:b/>
          <w:sz w:val="20"/>
        </w:rPr>
        <w:t>We use information to:</w:t>
      </w:r>
      <w:r>
        <w:rPr>
          <w:sz w:val="20"/>
        </w:rPr>
      </w:r>
    </w:p>
    <w:p>
      <w:pPr>
        <w:pStyle w:val="ListBullet"/>
        <w:spacing w:after="40"/>
        <w:ind w:left="317" w:hanging="216"/>
      </w:pPr>
      <w:r>
        <w:rPr>
          <w:sz w:val="19"/>
        </w:rPr>
        <w:t>Create and manage accounts</w:t>
      </w:r>
    </w:p>
    <w:p>
      <w:pPr>
        <w:pStyle w:val="ListBullet"/>
        <w:spacing w:after="40"/>
        <w:ind w:left="317" w:hanging="216"/>
      </w:pPr>
      <w:r>
        <w:rPr>
          <w:sz w:val="19"/>
        </w:rPr>
        <w:t>Authenticate users</w:t>
      </w:r>
    </w:p>
    <w:p>
      <w:pPr>
        <w:pStyle w:val="ListBullet"/>
        <w:spacing w:after="40"/>
        <w:ind w:left="317" w:hanging="216"/>
      </w:pPr>
      <w:r>
        <w:rPr>
          <w:sz w:val="19"/>
        </w:rPr>
        <w:t>Provide AI-powered planning, notes, recommendations, and suggestions</w:t>
      </w:r>
    </w:p>
    <w:p>
      <w:pPr>
        <w:pStyle w:val="ListBullet"/>
        <w:spacing w:after="40"/>
        <w:ind w:left="317" w:hanging="216"/>
      </w:pPr>
      <w:r>
        <w:rPr>
          <w:sz w:val="19"/>
        </w:rPr>
        <w:t>Save preferences, memories, photos, notes, and plans</w:t>
      </w:r>
    </w:p>
    <w:p>
      <w:pPr>
        <w:pStyle w:val="ListBullet"/>
        <w:spacing w:after="40"/>
        <w:ind w:left="317" w:hanging="216"/>
      </w:pPr>
      <w:r>
        <w:rPr>
          <w:sz w:val="19"/>
        </w:rPr>
        <w:t>Enable partner planning features</w:t>
      </w:r>
    </w:p>
    <w:p>
      <w:pPr>
        <w:pStyle w:val="ListBullet"/>
        <w:spacing w:after="40"/>
        <w:ind w:left="317" w:hanging="216"/>
      </w:pPr>
      <w:r>
        <w:rPr>
          <w:sz w:val="19"/>
        </w:rPr>
        <w:t>Process subscriptions, payments, refunds, and billing issues</w:t>
      </w:r>
    </w:p>
    <w:p>
      <w:pPr>
        <w:pStyle w:val="ListBullet"/>
        <w:spacing w:after="40"/>
        <w:ind w:left="317" w:hanging="216"/>
      </w:pPr>
      <w:r>
        <w:rPr>
          <w:sz w:val="19"/>
        </w:rPr>
        <w:t>Provide customer support</w:t>
      </w:r>
    </w:p>
    <w:p>
      <w:pPr>
        <w:pStyle w:val="ListBullet"/>
        <w:spacing w:after="40"/>
        <w:ind w:left="317" w:hanging="216"/>
      </w:pPr>
      <w:r>
        <w:rPr>
          <w:sz w:val="19"/>
        </w:rPr>
        <w:t>Respond to requests</w:t>
      </w:r>
    </w:p>
    <w:p>
      <w:pPr>
        <w:pStyle w:val="ListBullet"/>
        <w:spacing w:after="40"/>
        <w:ind w:left="317" w:hanging="216"/>
      </w:pPr>
      <w:r>
        <w:rPr>
          <w:sz w:val="19"/>
        </w:rPr>
        <w:t>Maintain user settings</w:t>
      </w:r>
    </w:p>
    <w:p>
      <w:pPr>
        <w:pStyle w:val="ListBullet"/>
        <w:spacing w:after="40"/>
        <w:ind w:left="317" w:hanging="216"/>
      </w:pPr>
      <w:r>
        <w:rPr>
          <w:sz w:val="19"/>
        </w:rPr>
        <w:t>Send transactional messages</w:t>
      </w:r>
    </w:p>
    <w:p>
      <w:pPr>
        <w:pStyle w:val="ListBullet"/>
        <w:spacing w:after="40"/>
        <w:ind w:left="317" w:hanging="216"/>
      </w:pPr>
      <w:r>
        <w:rPr>
          <w:sz w:val="19"/>
        </w:rPr>
        <w:t>Operate app and website features</w:t>
      </w:r>
    </w:p>
    <w:p>
      <w:pPr>
        <w:pStyle w:val="Heading2"/>
      </w:pPr>
      <w:r>
        <w:t>7.2 To Personalize the Service</w:t>
      </w:r>
    </w:p>
    <w:p>
      <w:r>
        <w:rPr>
          <w:b/>
          <w:sz w:val="20"/>
        </w:rPr>
        <w:t>We use information to:</w:t>
      </w:r>
      <w:r>
        <w:rPr>
          <w:sz w:val="20"/>
        </w:rPr>
      </w:r>
    </w:p>
    <w:p>
      <w:pPr>
        <w:pStyle w:val="ListBullet"/>
        <w:spacing w:after="40"/>
        <w:ind w:left="317" w:hanging="216"/>
      </w:pPr>
      <w:r>
        <w:rPr>
          <w:sz w:val="19"/>
        </w:rPr>
        <w:t>Suggest date plans</w:t>
      </w:r>
    </w:p>
    <w:p>
      <w:pPr>
        <w:pStyle w:val="ListBullet"/>
        <w:spacing w:after="40"/>
        <w:ind w:left="317" w:hanging="216"/>
      </w:pPr>
      <w:r>
        <w:rPr>
          <w:sz w:val="19"/>
        </w:rPr>
        <w:t>Recommend venues or activities</w:t>
      </w:r>
    </w:p>
    <w:p>
      <w:pPr>
        <w:pStyle w:val="ListBullet"/>
        <w:spacing w:after="40"/>
        <w:ind w:left="317" w:hanging="216"/>
      </w:pPr>
      <w:r>
        <w:rPr>
          <w:sz w:val="19"/>
        </w:rPr>
        <w:t>Generate messages, notes, or gift ideas</w:t>
      </w:r>
    </w:p>
    <w:p>
      <w:pPr>
        <w:pStyle w:val="ListBullet"/>
        <w:spacing w:after="40"/>
        <w:ind w:left="317" w:hanging="216"/>
      </w:pPr>
      <w:r>
        <w:rPr>
          <w:sz w:val="19"/>
        </w:rPr>
        <w:t>Remember your preferences</w:t>
      </w:r>
    </w:p>
    <w:p>
      <w:pPr>
        <w:pStyle w:val="ListBullet"/>
        <w:spacing w:after="40"/>
        <w:ind w:left="317" w:hanging="216"/>
      </w:pPr>
      <w:r>
        <w:rPr>
          <w:sz w:val="19"/>
        </w:rPr>
        <w:t>Improve relevance of AI outputs</w:t>
      </w:r>
    </w:p>
    <w:p>
      <w:pPr>
        <w:pStyle w:val="ListBullet"/>
        <w:spacing w:after="40"/>
        <w:ind w:left="317" w:hanging="216"/>
      </w:pPr>
      <w:r>
        <w:rPr>
          <w:sz w:val="19"/>
        </w:rPr>
        <w:t>Provide location-based suggestions when enabled</w:t>
      </w:r>
    </w:p>
    <w:p>
      <w:pPr>
        <w:pStyle w:val="ListBullet"/>
        <w:spacing w:after="40"/>
        <w:ind w:left="317" w:hanging="216"/>
      </w:pPr>
      <w:r>
        <w:rPr>
          <w:sz w:val="19"/>
        </w:rPr>
        <w:t>Customize the experience based on your settings</w:t>
      </w:r>
    </w:p>
    <w:p>
      <w:pPr>
        <w:pStyle w:val="Heading2"/>
      </w:pPr>
      <w:r>
        <w:t>7.3 To Keep the Service Safe and Secure</w:t>
      </w:r>
    </w:p>
    <w:p>
      <w:r>
        <w:rPr>
          <w:b/>
          <w:sz w:val="20"/>
        </w:rPr>
        <w:t>We use information to:</w:t>
      </w:r>
      <w:r>
        <w:rPr>
          <w:sz w:val="20"/>
        </w:rPr>
      </w:r>
    </w:p>
    <w:p>
      <w:pPr>
        <w:pStyle w:val="ListBullet"/>
        <w:spacing w:after="40"/>
        <w:ind w:left="317" w:hanging="216"/>
      </w:pPr>
      <w:r>
        <w:rPr>
          <w:sz w:val="19"/>
        </w:rPr>
        <w:t>Detect fraud, abuse, spam, and unauthorized access</w:t>
      </w:r>
    </w:p>
    <w:p>
      <w:pPr>
        <w:pStyle w:val="ListBullet"/>
        <w:spacing w:after="40"/>
        <w:ind w:left="317" w:hanging="216"/>
      </w:pPr>
      <w:r>
        <w:rPr>
          <w:sz w:val="19"/>
        </w:rPr>
        <w:t>Monitor authentication and access activity</w:t>
      </w:r>
    </w:p>
    <w:p>
      <w:pPr>
        <w:pStyle w:val="ListBullet"/>
        <w:spacing w:after="40"/>
        <w:ind w:left="317" w:hanging="216"/>
      </w:pPr>
      <w:r>
        <w:rPr>
          <w:sz w:val="19"/>
        </w:rPr>
        <w:t>Investigate suspicious activity</w:t>
      </w:r>
    </w:p>
    <w:p>
      <w:pPr>
        <w:pStyle w:val="ListBullet"/>
        <w:spacing w:after="40"/>
        <w:ind w:left="317" w:hanging="216"/>
      </w:pPr>
      <w:r>
        <w:rPr>
          <w:sz w:val="19"/>
        </w:rPr>
        <w:t>Protect user accounts</w:t>
      </w:r>
    </w:p>
    <w:p>
      <w:pPr>
        <w:pStyle w:val="ListBullet"/>
        <w:spacing w:after="40"/>
        <w:ind w:left="317" w:hanging="216"/>
      </w:pPr>
      <w:r>
        <w:rPr>
          <w:sz w:val="19"/>
        </w:rPr>
        <w:t>Maintain logs and security records</w:t>
      </w:r>
    </w:p>
    <w:p>
      <w:pPr>
        <w:pStyle w:val="ListBullet"/>
        <w:spacing w:after="40"/>
        <w:ind w:left="317" w:hanging="216"/>
      </w:pPr>
      <w:r>
        <w:rPr>
          <w:sz w:val="19"/>
        </w:rPr>
        <w:t>Prevent misuse of AI features</w:t>
      </w:r>
    </w:p>
    <w:p>
      <w:pPr>
        <w:pStyle w:val="ListBullet"/>
        <w:spacing w:after="40"/>
        <w:ind w:left="317" w:hanging="216"/>
      </w:pPr>
      <w:r>
        <w:rPr>
          <w:sz w:val="19"/>
        </w:rPr>
        <w:t>Enforce our terms and policies</w:t>
      </w:r>
    </w:p>
    <w:p>
      <w:pPr>
        <w:pStyle w:val="ListBullet"/>
        <w:spacing w:after="40"/>
        <w:ind w:left="317" w:hanging="216"/>
      </w:pPr>
      <w:r>
        <w:rPr>
          <w:sz w:val="19"/>
        </w:rPr>
        <w:t>Protect users, partners, service providers, and our business</w:t>
      </w:r>
    </w:p>
    <w:p>
      <w:pPr>
        <w:pStyle w:val="Heading2"/>
      </w:pPr>
      <w:r>
        <w:t>7.4 To Improve the Service</w:t>
      </w:r>
    </w:p>
    <w:p>
      <w:r>
        <w:rPr>
          <w:b/>
          <w:sz w:val="20"/>
        </w:rPr>
        <w:t>We use information to:</w:t>
      </w:r>
      <w:r>
        <w:rPr>
          <w:sz w:val="20"/>
        </w:rPr>
      </w:r>
    </w:p>
    <w:p>
      <w:pPr>
        <w:pStyle w:val="ListBullet"/>
        <w:spacing w:after="40"/>
        <w:ind w:left="317" w:hanging="216"/>
      </w:pPr>
      <w:r>
        <w:rPr>
          <w:sz w:val="19"/>
        </w:rPr>
        <w:t>Fix bugs</w:t>
      </w:r>
    </w:p>
    <w:p>
      <w:pPr>
        <w:pStyle w:val="ListBullet"/>
        <w:spacing w:after="40"/>
        <w:ind w:left="317" w:hanging="216"/>
      </w:pPr>
      <w:r>
        <w:rPr>
          <w:sz w:val="19"/>
        </w:rPr>
        <w:t>Improve app and website performance</w:t>
      </w:r>
    </w:p>
    <w:p>
      <w:pPr>
        <w:pStyle w:val="ListBullet"/>
        <w:spacing w:after="40"/>
        <w:ind w:left="317" w:hanging="216"/>
      </w:pPr>
      <w:r>
        <w:rPr>
          <w:sz w:val="19"/>
        </w:rPr>
        <w:t>Understand which features are useful</w:t>
      </w:r>
    </w:p>
    <w:p>
      <w:pPr>
        <w:pStyle w:val="ListBullet"/>
        <w:spacing w:after="40"/>
        <w:ind w:left="317" w:hanging="216"/>
      </w:pPr>
      <w:r>
        <w:rPr>
          <w:sz w:val="19"/>
        </w:rPr>
        <w:t>Improve AI quality and safety</w:t>
      </w:r>
    </w:p>
    <w:p>
      <w:pPr>
        <w:pStyle w:val="ListBullet"/>
        <w:spacing w:after="40"/>
        <w:ind w:left="317" w:hanging="216"/>
      </w:pPr>
      <w:r>
        <w:rPr>
          <w:sz w:val="19"/>
        </w:rPr>
        <w:t>Develop new features</w:t>
      </w:r>
    </w:p>
    <w:p>
      <w:pPr>
        <w:pStyle w:val="ListBullet"/>
        <w:spacing w:after="40"/>
        <w:ind w:left="317" w:hanging="216"/>
      </w:pPr>
      <w:r>
        <w:rPr>
          <w:sz w:val="19"/>
        </w:rPr>
        <w:t>Test and improve workflows</w:t>
      </w:r>
    </w:p>
    <w:p>
      <w:pPr>
        <w:pStyle w:val="ListBullet"/>
        <w:spacing w:after="40"/>
        <w:ind w:left="317" w:hanging="216"/>
      </w:pPr>
      <w:r>
        <w:rPr>
          <w:sz w:val="19"/>
        </w:rPr>
        <w:t>Use aggregated or de-identified information for analytics</w:t>
      </w:r>
    </w:p>
    <w:p>
      <w:pPr>
        <w:pStyle w:val="Heading2"/>
      </w:pPr>
      <w:r>
        <w:t>7.5 For Payments, Accounting, and Business Operations</w:t>
      </w:r>
    </w:p>
    <w:p>
      <w:r>
        <w:rPr>
          <w:b/>
          <w:sz w:val="20"/>
        </w:rPr>
        <w:t>We use information to:</w:t>
      </w:r>
      <w:r>
        <w:rPr>
          <w:sz w:val="20"/>
        </w:rPr>
      </w:r>
    </w:p>
    <w:p>
      <w:pPr>
        <w:pStyle w:val="ListBullet"/>
        <w:spacing w:after="40"/>
        <w:ind w:left="317" w:hanging="216"/>
      </w:pPr>
      <w:r>
        <w:rPr>
          <w:sz w:val="19"/>
        </w:rPr>
        <w:t>Process payments</w:t>
      </w:r>
    </w:p>
    <w:p>
      <w:pPr>
        <w:pStyle w:val="ListBullet"/>
        <w:spacing w:after="40"/>
        <w:ind w:left="317" w:hanging="216"/>
      </w:pPr>
      <w:r>
        <w:rPr>
          <w:sz w:val="19"/>
        </w:rPr>
        <w:t>Manage subscriptions</w:t>
      </w:r>
    </w:p>
    <w:p>
      <w:pPr>
        <w:pStyle w:val="ListBullet"/>
        <w:spacing w:after="40"/>
        <w:ind w:left="317" w:hanging="216"/>
      </w:pPr>
      <w:r>
        <w:rPr>
          <w:sz w:val="19"/>
        </w:rPr>
        <w:t>Issue refunds</w:t>
      </w:r>
    </w:p>
    <w:p>
      <w:pPr>
        <w:pStyle w:val="ListBullet"/>
        <w:spacing w:after="40"/>
        <w:ind w:left="317" w:hanging="216"/>
      </w:pPr>
      <w:r>
        <w:rPr>
          <w:sz w:val="19"/>
        </w:rPr>
        <w:t>Prevent payment fraud</w:t>
      </w:r>
    </w:p>
    <w:p>
      <w:pPr>
        <w:pStyle w:val="ListBullet"/>
        <w:spacing w:after="40"/>
        <w:ind w:left="317" w:hanging="216"/>
      </w:pPr>
      <w:r>
        <w:rPr>
          <w:sz w:val="19"/>
        </w:rPr>
        <w:t>Resolve chargebacks</w:t>
      </w:r>
    </w:p>
    <w:p>
      <w:pPr>
        <w:pStyle w:val="ListBullet"/>
        <w:spacing w:after="40"/>
        <w:ind w:left="317" w:hanging="216"/>
      </w:pPr>
      <w:r>
        <w:rPr>
          <w:sz w:val="19"/>
        </w:rPr>
        <w:t>Maintain transaction records</w:t>
      </w:r>
    </w:p>
    <w:p>
      <w:pPr>
        <w:pStyle w:val="ListBullet"/>
        <w:spacing w:after="40"/>
        <w:ind w:left="317" w:hanging="216"/>
      </w:pPr>
      <w:r>
        <w:rPr>
          <w:sz w:val="19"/>
        </w:rPr>
        <w:t>Support tax and accounting obligations</w:t>
      </w:r>
    </w:p>
    <w:p>
      <w:pPr>
        <w:pStyle w:val="ListBullet"/>
        <w:spacing w:after="40"/>
        <w:ind w:left="317" w:hanging="216"/>
      </w:pPr>
      <w:r>
        <w:rPr>
          <w:sz w:val="19"/>
        </w:rPr>
        <w:t>Manage business records</w:t>
      </w:r>
    </w:p>
    <w:p>
      <w:pPr>
        <w:pStyle w:val="Heading2"/>
      </w:pPr>
      <w:r>
        <w:t>7.6 For Legal, Compliance, and Risk Management</w:t>
      </w:r>
    </w:p>
    <w:p>
      <w:r>
        <w:rPr>
          <w:b/>
          <w:sz w:val="20"/>
        </w:rPr>
        <w:t>We use information to:</w:t>
      </w:r>
      <w:r>
        <w:rPr>
          <w:sz w:val="20"/>
        </w:rPr>
      </w:r>
    </w:p>
    <w:p>
      <w:pPr>
        <w:pStyle w:val="ListBullet"/>
        <w:spacing w:after="40"/>
        <w:ind w:left="317" w:hanging="216"/>
      </w:pPr>
      <w:r>
        <w:rPr>
          <w:sz w:val="19"/>
        </w:rPr>
        <w:t>Comply with privacy, payment, tax, accounting, audit, and regulatory obligations</w:t>
      </w:r>
    </w:p>
    <w:p>
      <w:pPr>
        <w:pStyle w:val="ListBullet"/>
        <w:spacing w:after="40"/>
        <w:ind w:left="317" w:hanging="216"/>
      </w:pPr>
      <w:r>
        <w:rPr>
          <w:sz w:val="19"/>
        </w:rPr>
        <w:t>Respond to valid legal requests</w:t>
      </w:r>
    </w:p>
    <w:p>
      <w:pPr>
        <w:pStyle w:val="ListBullet"/>
        <w:spacing w:after="40"/>
        <w:ind w:left="317" w:hanging="216"/>
      </w:pPr>
      <w:r>
        <w:rPr>
          <w:sz w:val="19"/>
        </w:rPr>
        <w:t>Manage disputes, claims, and investigations</w:t>
      </w:r>
    </w:p>
    <w:p>
      <w:pPr>
        <w:pStyle w:val="ListBullet"/>
        <w:spacing w:after="40"/>
        <w:ind w:left="317" w:hanging="216"/>
      </w:pPr>
      <w:r>
        <w:rPr>
          <w:sz w:val="19"/>
        </w:rPr>
        <w:t>Enforce our legal rights</w:t>
      </w:r>
    </w:p>
    <w:p>
      <w:pPr>
        <w:pStyle w:val="ListBullet"/>
        <w:spacing w:after="40"/>
        <w:ind w:left="317" w:hanging="216"/>
      </w:pPr>
      <w:r>
        <w:rPr>
          <w:sz w:val="19"/>
        </w:rPr>
        <w:t>Meet recordkeeping obligations</w:t>
      </w:r>
    </w:p>
    <w:p>
      <w:pPr>
        <w:pStyle w:val="ListBullet"/>
        <w:spacing w:after="40"/>
        <w:ind w:left="317" w:hanging="216"/>
      </w:pPr>
      <w:r>
        <w:rPr>
          <w:sz w:val="19"/>
        </w:rPr>
        <w:t>Conduct internal reviews</w:t>
      </w:r>
    </w:p>
    <w:p>
      <w:pPr>
        <w:pStyle w:val="ListBullet"/>
        <w:spacing w:after="40"/>
        <w:ind w:left="317" w:hanging="216"/>
      </w:pPr>
      <w:r>
        <w:rPr>
          <w:sz w:val="19"/>
        </w:rPr>
        <w:t>Maintain compliance documentation</w:t>
      </w:r>
    </w:p>
    <w:p>
      <w:pPr>
        <w:pStyle w:val="Heading2"/>
      </w:pPr>
      <w:r>
        <w:t>7.7 To Communicate With You</w:t>
      </w:r>
    </w:p>
    <w:p>
      <w:r>
        <w:rPr>
          <w:b/>
          <w:sz w:val="20"/>
        </w:rPr>
        <w:t>We use information to:</w:t>
      </w:r>
      <w:r>
        <w:rPr>
          <w:sz w:val="20"/>
        </w:rPr>
      </w:r>
    </w:p>
    <w:p>
      <w:pPr>
        <w:pStyle w:val="ListBullet"/>
        <w:spacing w:after="40"/>
        <w:ind w:left="317" w:hanging="216"/>
      </w:pPr>
      <w:r>
        <w:rPr>
          <w:sz w:val="19"/>
        </w:rPr>
        <w:t>Send account notices</w:t>
      </w:r>
    </w:p>
    <w:p>
      <w:pPr>
        <w:pStyle w:val="ListBullet"/>
        <w:spacing w:after="40"/>
        <w:ind w:left="317" w:hanging="216"/>
      </w:pPr>
      <w:r>
        <w:rPr>
          <w:sz w:val="19"/>
        </w:rPr>
        <w:t>Send security alerts</w:t>
      </w:r>
    </w:p>
    <w:p>
      <w:pPr>
        <w:pStyle w:val="ListBullet"/>
        <w:spacing w:after="40"/>
        <w:ind w:left="317" w:hanging="216"/>
      </w:pPr>
      <w:r>
        <w:rPr>
          <w:sz w:val="19"/>
        </w:rPr>
        <w:t>Send payment and subscription notices</w:t>
      </w:r>
    </w:p>
    <w:p>
      <w:pPr>
        <w:pStyle w:val="ListBullet"/>
        <w:spacing w:after="40"/>
        <w:ind w:left="317" w:hanging="216"/>
      </w:pPr>
      <w:r>
        <w:rPr>
          <w:sz w:val="19"/>
        </w:rPr>
        <w:t>Respond to support requests</w:t>
      </w:r>
    </w:p>
    <w:p>
      <w:pPr>
        <w:pStyle w:val="ListBullet"/>
        <w:spacing w:after="40"/>
        <w:ind w:left="317" w:hanging="216"/>
      </w:pPr>
      <w:r>
        <w:rPr>
          <w:sz w:val="19"/>
        </w:rPr>
        <w:t>Send service updates</w:t>
      </w:r>
    </w:p>
    <w:p>
      <w:pPr>
        <w:pStyle w:val="ListBullet"/>
        <w:spacing w:after="40"/>
        <w:ind w:left="317" w:hanging="216"/>
      </w:pPr>
      <w:r>
        <w:rPr>
          <w:sz w:val="19"/>
        </w:rPr>
        <w:t>Send policy updates</w:t>
      </w:r>
    </w:p>
    <w:p>
      <w:pPr>
        <w:pStyle w:val="ListBullet"/>
        <w:spacing w:after="40"/>
        <w:ind w:left="317" w:hanging="216"/>
      </w:pPr>
      <w:r>
        <w:rPr>
          <w:sz w:val="19"/>
        </w:rPr>
        <w:t>Send marketing messages where permitted</w:t>
      </w:r>
    </w:p>
    <w:p>
      <w:pPr>
        <w:pStyle w:val="ListBullet"/>
        <w:spacing w:after="40"/>
        <w:ind w:left="317" w:hanging="216"/>
      </w:pPr>
      <w:r>
        <w:rPr>
          <w:sz w:val="19"/>
        </w:rPr>
        <w:t>Provide opt-out choices for marketing</w:t>
      </w:r>
    </w:p>
    <w:p>
      <w:pPr>
        <w:pStyle w:val="Heading1"/>
      </w:pPr>
      <w:r>
        <w:t>8. Legal Bases for Processing</w:t>
      </w:r>
    </w:p>
    <w:p>
      <w:r>
        <w:rPr>
          <w:sz w:val="20"/>
        </w:rPr>
        <w:t>If you are in the European Economic Area, United Kingdom, Switzerland, Brazil, South Africa, or another region that requires a legal basis for processing, we rely on one or more of the following legal bases:</w:t>
      </w:r>
    </w:p>
    <w:p>
      <w:r>
        <w:rPr>
          <w:b/>
          <w:sz w:val="20"/>
        </w:rPr>
        <w:t>Contract:</w:t>
      </w:r>
      <w:r>
        <w:rPr>
          <w:sz w:val="20"/>
        </w:rPr>
        <w:t xml:space="preserve"> To provide the Service you requested, including account access, AI features, saved plans, subscriptions, payments, and support.</w:t>
      </w:r>
    </w:p>
    <w:p>
      <w:r>
        <w:rPr>
          <w:b/>
          <w:sz w:val="20"/>
        </w:rPr>
        <w:t>Consent:</w:t>
      </w:r>
      <w:r>
        <w:rPr>
          <w:sz w:val="20"/>
        </w:rPr>
        <w:t xml:space="preserve"> For optional marketing, certain cookies, certain device permissions, certain sensitive processing, or other processing where consent is required.</w:t>
      </w:r>
    </w:p>
    <w:p>
      <w:r>
        <w:rPr>
          <w:b/>
          <w:sz w:val="20"/>
        </w:rPr>
        <w:t>Legitimate interests:</w:t>
      </w:r>
      <w:r>
        <w:rPr>
          <w:sz w:val="20"/>
        </w:rPr>
        <w:t xml:space="preserve"> To operate, secure, improve, and protect the Service; prevent fraud; understand usage; support business operations; and communicate with users, as long as those interests are not overridden by your rights.</w:t>
      </w:r>
    </w:p>
    <w:p>
      <w:r>
        <w:rPr>
          <w:b/>
          <w:sz w:val="20"/>
        </w:rPr>
        <w:t>Legal obligation:</w:t>
      </w:r>
      <w:r>
        <w:rPr>
          <w:sz w:val="20"/>
        </w:rPr>
        <w:t xml:space="preserve"> To comply with laws, payment rules, tax obligations, accounting requirements, audits, legal requests, and regulatory duties.</w:t>
      </w:r>
    </w:p>
    <w:p>
      <w:r>
        <w:rPr>
          <w:b/>
          <w:sz w:val="20"/>
        </w:rPr>
        <w:t>Vital interests or public interest:</w:t>
      </w:r>
      <w:r>
        <w:rPr>
          <w:sz w:val="20"/>
        </w:rPr>
        <w:t xml:space="preserve"> Only where legally allowed and necessary.</w:t>
      </w:r>
    </w:p>
    <w:p>
      <w:r>
        <w:rPr>
          <w:sz w:val="20"/>
        </w:rPr>
        <w:t>Where consent is required, you may withdraw it at any time. Withdrawal does not affect processing that happened before the withdrawal.</w:t>
      </w:r>
    </w:p>
    <w:p>
      <w:pPr>
        <w:pStyle w:val="Heading1"/>
      </w:pPr>
      <w:r>
        <w:t>9. How We Use AI</w:t>
      </w:r>
    </w:p>
    <w:p>
      <w:r>
        <w:rPr>
          <w:sz w:val="20"/>
        </w:rPr>
        <w:t>AI is part of the Service. It helps generate date plans, messages, recommendations, gift ideas, summaries, suggestions, and other outputs based on the information you provide.</w:t>
      </w:r>
    </w:p>
    <w:p>
      <w:pPr>
        <w:pStyle w:val="Heading2"/>
      </w:pPr>
      <w:r>
        <w:t>9.1 AI Inputs and Outputs</w:t>
      </w:r>
    </w:p>
    <w:p>
      <w:r>
        <w:rPr>
          <w:sz w:val="20"/>
        </w:rPr>
        <w:t>When you use an AI feature, we may process your prompts, preferences, selected content, uploaded content, settings, feedback, and generated outputs. We use this information to provide the requested feature, maintain the Service, troubleshoot issues, improve safety, prevent abuse, and support user requests.</w:t>
      </w:r>
    </w:p>
    <w:p>
      <w:pPr>
        <w:pStyle w:val="Heading2"/>
      </w:pPr>
      <w:r>
        <w:t>9.2 Human Review</w:t>
      </w:r>
    </w:p>
    <w:p>
      <w:r>
        <w:rPr>
          <w:sz w:val="20"/>
        </w:rPr>
        <w:t>We may review AI inputs and outputs when needed to:</w:t>
      </w:r>
    </w:p>
    <w:p>
      <w:pPr>
        <w:pStyle w:val="ListBullet"/>
        <w:spacing w:after="40"/>
        <w:ind w:left="317" w:hanging="216"/>
      </w:pPr>
      <w:r>
        <w:rPr>
          <w:sz w:val="19"/>
        </w:rPr>
        <w:t>Respond to support requests</w:t>
      </w:r>
    </w:p>
    <w:p>
      <w:pPr>
        <w:pStyle w:val="ListBullet"/>
        <w:spacing w:after="40"/>
        <w:ind w:left="317" w:hanging="216"/>
      </w:pPr>
      <w:r>
        <w:rPr>
          <w:sz w:val="19"/>
        </w:rPr>
        <w:t>Investigate abuse or misuse</w:t>
      </w:r>
    </w:p>
    <w:p>
      <w:pPr>
        <w:pStyle w:val="ListBullet"/>
        <w:spacing w:after="40"/>
        <w:ind w:left="317" w:hanging="216"/>
      </w:pPr>
      <w:r>
        <w:rPr>
          <w:sz w:val="19"/>
        </w:rPr>
        <w:t>Investigate security issues</w:t>
      </w:r>
    </w:p>
    <w:p>
      <w:pPr>
        <w:pStyle w:val="ListBullet"/>
        <w:spacing w:after="40"/>
        <w:ind w:left="317" w:hanging="216"/>
      </w:pPr>
      <w:r>
        <w:rPr>
          <w:sz w:val="19"/>
        </w:rPr>
        <w:t>Improve safety</w:t>
      </w:r>
    </w:p>
    <w:p>
      <w:pPr>
        <w:pStyle w:val="ListBullet"/>
        <w:spacing w:after="40"/>
        <w:ind w:left="317" w:hanging="216"/>
      </w:pPr>
      <w:r>
        <w:rPr>
          <w:sz w:val="19"/>
        </w:rPr>
        <w:t>Fix bugs</w:t>
      </w:r>
    </w:p>
    <w:p>
      <w:pPr>
        <w:pStyle w:val="ListBullet"/>
        <w:spacing w:after="40"/>
        <w:ind w:left="317" w:hanging="216"/>
      </w:pPr>
      <w:r>
        <w:rPr>
          <w:sz w:val="19"/>
        </w:rPr>
        <w:t>Review system performance</w:t>
      </w:r>
    </w:p>
    <w:p>
      <w:pPr>
        <w:pStyle w:val="ListBullet"/>
        <w:spacing w:after="40"/>
        <w:ind w:left="317" w:hanging="216"/>
      </w:pPr>
      <w:r>
        <w:rPr>
          <w:sz w:val="19"/>
        </w:rPr>
        <w:t>Meet legal or compliance obligations</w:t>
      </w:r>
    </w:p>
    <w:p>
      <w:r>
        <w:rPr>
          <w:sz w:val="20"/>
        </w:rPr>
        <w:t>We limit review access to people and service providers who need access for authorized work.</w:t>
      </w:r>
    </w:p>
    <w:p>
      <w:pPr>
        <w:pStyle w:val="Heading2"/>
      </w:pPr>
      <w:r>
        <w:t>9.3 AI Training and Model Improvement</w:t>
      </w:r>
    </w:p>
    <w:p>
      <w:r>
        <w:rPr>
          <w:sz w:val="20"/>
        </w:rPr>
        <w:t>We do not use your personal information, payment card data, or private account content to train public AI models unless we clearly tell you and obtain consent where required.</w:t>
      </w:r>
    </w:p>
    <w:p>
      <w:r>
        <w:rPr>
          <w:sz w:val="20"/>
        </w:rPr>
        <w:t>We may use aggregated, de-identified, or otherwise privacy-protected information to improve the Service, measure performance, detect abuse, and improve safety.</w:t>
      </w:r>
    </w:p>
    <w:p>
      <w:pPr>
        <w:pStyle w:val="Heading2"/>
      </w:pPr>
      <w:r>
        <w:t>9.4 AI Accuracy</w:t>
      </w:r>
    </w:p>
    <w:p>
      <w:r>
        <w:rPr>
          <w:sz w:val="20"/>
        </w:rPr>
        <w:t>AI outputs may be inaccurate, incomplete, outdated, or not appropriate for your situation. You should review outputs before relying on them, especially for decisions involving safety, finances, health, law, travel, relationships, or other sensitive matters.</w:t>
      </w:r>
    </w:p>
    <w:p>
      <w:pPr>
        <w:pStyle w:val="Heading2"/>
      </w:pPr>
      <w:r>
        <w:t>9.5 AI Vendors</w:t>
      </w:r>
    </w:p>
    <w:p>
      <w:r>
        <w:rPr>
          <w:sz w:val="20"/>
        </w:rPr>
        <w:t>We may use third-party AI providers to operate AI features. We require those providers to process information only for authorized purposes and to follow confidentiality, privacy, and security obligations.</w:t>
      </w:r>
    </w:p>
    <w:p>
      <w:pPr>
        <w:pStyle w:val="Heading2"/>
      </w:pPr>
      <w:r>
        <w:t>9.6 No Payment Card Data in AI Prompts</w:t>
      </w:r>
    </w:p>
    <w:p>
      <w:r>
        <w:rPr>
          <w:sz w:val="20"/>
        </w:rPr>
        <w:t>You should not enter payment card numbers, card security codes, bank credentials, or other payment authentication information into AI prompts. If this information is submitted, we may delete, redact, or restrict it.</w:t>
      </w:r>
    </w:p>
    <w:p>
      <w:pPr>
        <w:pStyle w:val="Heading1"/>
      </w:pPr>
      <w:r>
        <w:t>10. How We Share Personal Information</w:t>
      </w:r>
    </w:p>
    <w:p>
      <w:r>
        <w:rPr>
          <w:sz w:val="20"/>
        </w:rPr>
        <w:t>We do not sell personal information for money. We do not share personal information with data brokers.</w:t>
      </w:r>
    </w:p>
    <w:p>
      <w:r>
        <w:rPr>
          <w:sz w:val="20"/>
        </w:rPr>
        <w:t>We share personal information only as described in this policy.</w:t>
      </w:r>
    </w:p>
    <w:p>
      <w:pPr>
        <w:pStyle w:val="Heading2"/>
      </w:pPr>
      <w:r>
        <w:t>10.1 Service Providers and Processors</w:t>
      </w:r>
    </w:p>
    <w:p>
      <w:r>
        <w:rPr>
          <w:sz w:val="20"/>
        </w:rPr>
        <w:t>We use service providers to operate the Service. They may process information for hosting, authentication, storage, AI features, payments, analytics, email, customer support, logging, security, monitoring, and compliance.</w:t>
      </w:r>
    </w:p>
    <w:tbl>
      <w:tblPr>
        <w:tblStyle w:val="TableGrid"/>
        <w:tblW w:type="auto" w:w="0"/>
        <w:jc w:val="center"/>
        <w:tblLook w:firstColumn="1" w:firstRow="1" w:lastColumn="0" w:lastRow="0" w:noHBand="0" w:noVBand="1" w:val="04A0"/>
      </w:tblPr>
      <w:tblGrid>
        <w:gridCol w:w="3408"/>
        <w:gridCol w:w="3408"/>
        <w:gridCol w:w="3408"/>
      </w:tblGrid>
      <w:tr>
        <w:trPr>
          <w:trHeight w:hRule="atLeast"/>
        </w:trPr>
        <w:tc>
          <w:tcPr>
            <w:tcW w:type="dxa" w:w="3408"/>
            <w:tcMar>
              <w:top w:w="80" w:type="dxa"/>
              <w:start w:w="80" w:type="dxa"/>
              <w:bottom w:w="80" w:type="dxa"/>
              <w:end w:w="80" w:type="dxa"/>
            </w:tcMar>
            <w:vAlign w:val="top"/>
            <w:shd w:fill="D9EAF7"/>
          </w:tcPr>
          <w:p>
            <w:pPr>
              <w:spacing w:after="0"/>
            </w:pPr>
            <w:r/>
            <w:r>
              <w:rPr>
                <w:b/>
                <w:sz w:val="18"/>
              </w:rPr>
              <w:t>Provider or Category</w:t>
            </w:r>
          </w:p>
        </w:tc>
        <w:tc>
          <w:tcPr>
            <w:tcW w:type="dxa" w:w="3408"/>
            <w:tcMar>
              <w:top w:w="80" w:type="dxa"/>
              <w:start w:w="80" w:type="dxa"/>
              <w:bottom w:w="80" w:type="dxa"/>
              <w:end w:w="80" w:type="dxa"/>
            </w:tcMar>
            <w:vAlign w:val="top"/>
            <w:shd w:fill="D9EAF7"/>
          </w:tcPr>
          <w:p>
            <w:pPr>
              <w:spacing w:after="0"/>
            </w:pPr>
            <w:r/>
            <w:r>
              <w:rPr>
                <w:b/>
                <w:sz w:val="18"/>
              </w:rPr>
              <w:t>Purpose</w:t>
            </w:r>
          </w:p>
        </w:tc>
        <w:tc>
          <w:tcPr>
            <w:tcW w:type="dxa" w:w="3408"/>
            <w:tcMar>
              <w:top w:w="80" w:type="dxa"/>
              <w:start w:w="80" w:type="dxa"/>
              <w:bottom w:w="80" w:type="dxa"/>
              <w:end w:w="80" w:type="dxa"/>
            </w:tcMar>
            <w:vAlign w:val="top"/>
            <w:shd w:fill="D9EAF7"/>
          </w:tcPr>
          <w:p>
            <w:pPr>
              <w:spacing w:after="0"/>
            </w:pPr>
            <w:r/>
            <w:r>
              <w:rPr>
                <w:b/>
                <w:sz w:val="18"/>
              </w:rPr>
              <w:t>Information Involved</w:t>
            </w:r>
          </w:p>
        </w:tc>
      </w:tr>
      <w:tr>
        <w:trPr>
          <w:trHeight w:hRule="atLeast"/>
        </w:trPr>
        <w:tc>
          <w:tcPr>
            <w:tcW w:type="dxa" w:w="3408"/>
            <w:tcMar>
              <w:top w:w="80" w:type="dxa"/>
              <w:start w:w="80" w:type="dxa"/>
              <w:bottom w:w="80" w:type="dxa"/>
              <w:end w:w="80" w:type="dxa"/>
            </w:tcMar>
            <w:vAlign w:val="top"/>
          </w:tcPr>
          <w:p>
            <w:pPr>
              <w:spacing w:after="0"/>
            </w:pPr>
            <w:r/>
            <w:r>
              <w:rPr>
                <w:b w:val="0"/>
                <w:sz w:val="18"/>
              </w:rPr>
              <w:t>Supabase or similar hosting/authentication provider</w:t>
            </w:r>
          </w:p>
        </w:tc>
        <w:tc>
          <w:tcPr>
            <w:tcW w:type="dxa" w:w="3408"/>
            <w:tcMar>
              <w:top w:w="80" w:type="dxa"/>
              <w:start w:w="80" w:type="dxa"/>
              <w:bottom w:w="80" w:type="dxa"/>
              <w:end w:w="80" w:type="dxa"/>
            </w:tcMar>
            <w:vAlign w:val="top"/>
          </w:tcPr>
          <w:p>
            <w:pPr>
              <w:spacing w:after="0"/>
            </w:pPr>
            <w:r/>
            <w:r>
              <w:rPr>
                <w:b w:val="0"/>
                <w:sz w:val="18"/>
              </w:rPr>
              <w:t>Database, authentication, file storage, user sessions</w:t>
            </w:r>
          </w:p>
        </w:tc>
        <w:tc>
          <w:tcPr>
            <w:tcW w:type="dxa" w:w="3408"/>
            <w:tcMar>
              <w:top w:w="80" w:type="dxa"/>
              <w:start w:w="80" w:type="dxa"/>
              <w:bottom w:w="80" w:type="dxa"/>
              <w:end w:w="80" w:type="dxa"/>
            </w:tcMar>
            <w:vAlign w:val="top"/>
          </w:tcPr>
          <w:p>
            <w:pPr>
              <w:spacing w:after="0"/>
            </w:pPr>
            <w:r/>
            <w:r>
              <w:rPr>
                <w:b w:val="0"/>
                <w:sz w:val="18"/>
              </w:rPr>
              <w:t>Account data, preferences, saved content, files, logs</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OpenAI or similar AI provider</w:t>
            </w:r>
          </w:p>
        </w:tc>
        <w:tc>
          <w:tcPr>
            <w:tcW w:type="dxa" w:w="3408"/>
            <w:tcMar>
              <w:top w:w="80" w:type="dxa"/>
              <w:start w:w="80" w:type="dxa"/>
              <w:bottom w:w="80" w:type="dxa"/>
              <w:end w:w="80" w:type="dxa"/>
            </w:tcMar>
            <w:vAlign w:val="top"/>
            <w:shd w:fill="F7F9FB"/>
          </w:tcPr>
          <w:p>
            <w:pPr>
              <w:spacing w:after="0"/>
            </w:pPr>
            <w:r/>
            <w:r>
              <w:rPr>
                <w:b w:val="0"/>
                <w:sz w:val="18"/>
              </w:rPr>
              <w:t>AI generation and AI feature support</w:t>
            </w:r>
          </w:p>
        </w:tc>
        <w:tc>
          <w:tcPr>
            <w:tcW w:type="dxa" w:w="3408"/>
            <w:tcMar>
              <w:top w:w="80" w:type="dxa"/>
              <w:start w:w="80" w:type="dxa"/>
              <w:bottom w:w="80" w:type="dxa"/>
              <w:end w:w="80" w:type="dxa"/>
            </w:tcMar>
            <w:vAlign w:val="top"/>
            <w:shd w:fill="F7F9FB"/>
          </w:tcPr>
          <w:p>
            <w:pPr>
              <w:spacing w:after="0"/>
            </w:pPr>
            <w:r/>
            <w:r>
              <w:rPr>
                <w:b w:val="0"/>
                <w:sz w:val="18"/>
              </w:rPr>
              <w:t>Prompts, preferences, selected user content, AI outputs; payment card numbers should not be sent</w:t>
            </w:r>
          </w:p>
        </w:tc>
      </w:tr>
      <w:tr>
        <w:trPr>
          <w:trHeight w:hRule="atLeast"/>
        </w:trPr>
        <w:tc>
          <w:tcPr>
            <w:tcW w:type="dxa" w:w="3408"/>
            <w:tcMar>
              <w:top w:w="80" w:type="dxa"/>
              <w:start w:w="80" w:type="dxa"/>
              <w:bottom w:w="80" w:type="dxa"/>
              <w:end w:w="80" w:type="dxa"/>
            </w:tcMar>
            <w:vAlign w:val="top"/>
          </w:tcPr>
          <w:p>
            <w:pPr>
              <w:spacing w:after="0"/>
            </w:pPr>
            <w:r/>
            <w:r>
              <w:rPr>
                <w:b w:val="0"/>
                <w:sz w:val="18"/>
              </w:rPr>
              <w:t>Google Places or similar location provider</w:t>
            </w:r>
          </w:p>
        </w:tc>
        <w:tc>
          <w:tcPr>
            <w:tcW w:type="dxa" w:w="3408"/>
            <w:tcMar>
              <w:top w:w="80" w:type="dxa"/>
              <w:start w:w="80" w:type="dxa"/>
              <w:bottom w:w="80" w:type="dxa"/>
              <w:end w:w="80" w:type="dxa"/>
            </w:tcMar>
            <w:vAlign w:val="top"/>
          </w:tcPr>
          <w:p>
            <w:pPr>
              <w:spacing w:after="0"/>
            </w:pPr>
            <w:r/>
            <w:r>
              <w:rPr>
                <w:b w:val="0"/>
                <w:sz w:val="18"/>
              </w:rPr>
              <w:t>Venue search and local recommendations</w:t>
            </w:r>
          </w:p>
        </w:tc>
        <w:tc>
          <w:tcPr>
            <w:tcW w:type="dxa" w:w="3408"/>
            <w:tcMar>
              <w:top w:w="80" w:type="dxa"/>
              <w:start w:w="80" w:type="dxa"/>
              <w:bottom w:w="80" w:type="dxa"/>
              <w:end w:w="80" w:type="dxa"/>
            </w:tcMar>
            <w:vAlign w:val="top"/>
          </w:tcPr>
          <w:p>
            <w:pPr>
              <w:spacing w:after="0"/>
            </w:pPr>
            <w:r/>
            <w:r>
              <w:rPr>
                <w:b w:val="0"/>
                <w:sz w:val="18"/>
              </w:rPr>
              <w:t>Search query and approximate location</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Apple App Store / StoreKit</w:t>
            </w:r>
          </w:p>
        </w:tc>
        <w:tc>
          <w:tcPr>
            <w:tcW w:type="dxa" w:w="3408"/>
            <w:tcMar>
              <w:top w:w="80" w:type="dxa"/>
              <w:start w:w="80" w:type="dxa"/>
              <w:bottom w:w="80" w:type="dxa"/>
              <w:end w:w="80" w:type="dxa"/>
            </w:tcMar>
            <w:vAlign w:val="top"/>
            <w:shd w:fill="F7F9FB"/>
          </w:tcPr>
          <w:p>
            <w:pPr>
              <w:spacing w:after="0"/>
            </w:pPr>
            <w:r/>
            <w:r>
              <w:rPr>
                <w:b w:val="0"/>
                <w:sz w:val="18"/>
              </w:rPr>
              <w:t>Subscriptions, purchases, billing</w:t>
            </w:r>
          </w:p>
        </w:tc>
        <w:tc>
          <w:tcPr>
            <w:tcW w:type="dxa" w:w="3408"/>
            <w:tcMar>
              <w:top w:w="80" w:type="dxa"/>
              <w:start w:w="80" w:type="dxa"/>
              <w:bottom w:w="80" w:type="dxa"/>
              <w:end w:w="80" w:type="dxa"/>
            </w:tcMar>
            <w:vAlign w:val="top"/>
            <w:shd w:fill="F7F9FB"/>
          </w:tcPr>
          <w:p>
            <w:pPr>
              <w:spacing w:after="0"/>
            </w:pPr>
            <w:r/>
            <w:r>
              <w:rPr>
                <w:b w:val="0"/>
                <w:sz w:val="18"/>
              </w:rPr>
              <w:t>Transaction details, payment status, subscription status, processor identifiers</w:t>
            </w:r>
          </w:p>
        </w:tc>
      </w:tr>
      <w:tr>
        <w:trPr>
          <w:trHeight w:hRule="atLeast"/>
        </w:trPr>
        <w:tc>
          <w:tcPr>
            <w:tcW w:type="dxa" w:w="3408"/>
            <w:tcMar>
              <w:top w:w="80" w:type="dxa"/>
              <w:start w:w="80" w:type="dxa"/>
              <w:bottom w:w="80" w:type="dxa"/>
              <w:end w:w="80" w:type="dxa"/>
            </w:tcMar>
            <w:vAlign w:val="top"/>
          </w:tcPr>
          <w:p>
            <w:pPr>
              <w:spacing w:after="0"/>
            </w:pPr>
            <w:r/>
            <w:r>
              <w:rPr>
                <w:b w:val="0"/>
                <w:sz w:val="18"/>
              </w:rPr>
              <w:t>Payment processors</w:t>
            </w:r>
          </w:p>
        </w:tc>
        <w:tc>
          <w:tcPr>
            <w:tcW w:type="dxa" w:w="3408"/>
            <w:tcMar>
              <w:top w:w="80" w:type="dxa"/>
              <w:start w:w="80" w:type="dxa"/>
              <w:bottom w:w="80" w:type="dxa"/>
              <w:end w:w="80" w:type="dxa"/>
            </w:tcMar>
            <w:vAlign w:val="top"/>
          </w:tcPr>
          <w:p>
            <w:pPr>
              <w:spacing w:after="0"/>
            </w:pPr>
            <w:r/>
            <w:r>
              <w:rPr>
                <w:b w:val="0"/>
                <w:sz w:val="18"/>
              </w:rPr>
              <w:t>Payment processing, fraud prevention, refunds, chargebacks</w:t>
            </w:r>
          </w:p>
        </w:tc>
        <w:tc>
          <w:tcPr>
            <w:tcW w:type="dxa" w:w="3408"/>
            <w:tcMar>
              <w:top w:w="80" w:type="dxa"/>
              <w:start w:w="80" w:type="dxa"/>
              <w:bottom w:w="80" w:type="dxa"/>
              <w:end w:w="80" w:type="dxa"/>
            </w:tcMar>
            <w:vAlign w:val="top"/>
          </w:tcPr>
          <w:p>
            <w:pPr>
              <w:spacing w:after="0"/>
            </w:pPr>
            <w:r/>
            <w:r>
              <w:rPr>
                <w:b w:val="0"/>
                <w:sz w:val="18"/>
              </w:rPr>
              <w:t>Billing data, payment tokens, card data where applicable</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Resend or similar email provider</w:t>
            </w:r>
          </w:p>
        </w:tc>
        <w:tc>
          <w:tcPr>
            <w:tcW w:type="dxa" w:w="3408"/>
            <w:tcMar>
              <w:top w:w="80" w:type="dxa"/>
              <w:start w:w="80" w:type="dxa"/>
              <w:bottom w:w="80" w:type="dxa"/>
              <w:end w:w="80" w:type="dxa"/>
            </w:tcMar>
            <w:vAlign w:val="top"/>
            <w:shd w:fill="F7F9FB"/>
          </w:tcPr>
          <w:p>
            <w:pPr>
              <w:spacing w:after="0"/>
            </w:pPr>
            <w:r/>
            <w:r>
              <w:rPr>
                <w:b w:val="0"/>
                <w:sz w:val="18"/>
              </w:rPr>
              <w:t>Transactional email and notices</w:t>
            </w:r>
          </w:p>
        </w:tc>
        <w:tc>
          <w:tcPr>
            <w:tcW w:type="dxa" w:w="3408"/>
            <w:tcMar>
              <w:top w:w="80" w:type="dxa"/>
              <w:start w:w="80" w:type="dxa"/>
              <w:bottom w:w="80" w:type="dxa"/>
              <w:end w:w="80" w:type="dxa"/>
            </w:tcMar>
            <w:vAlign w:val="top"/>
            <w:shd w:fill="F7F9FB"/>
          </w:tcPr>
          <w:p>
            <w:pPr>
              <w:spacing w:after="0"/>
            </w:pPr>
            <w:r/>
            <w:r>
              <w:rPr>
                <w:b w:val="0"/>
                <w:sz w:val="18"/>
              </w:rPr>
              <w:t>Email address and message content</w:t>
            </w:r>
          </w:p>
        </w:tc>
      </w:tr>
      <w:tr>
        <w:trPr>
          <w:trHeight w:hRule="atLeast"/>
        </w:trPr>
        <w:tc>
          <w:tcPr>
            <w:tcW w:type="dxa" w:w="3408"/>
            <w:tcMar>
              <w:top w:w="80" w:type="dxa"/>
              <w:start w:w="80" w:type="dxa"/>
              <w:bottom w:w="80" w:type="dxa"/>
              <w:end w:w="80" w:type="dxa"/>
            </w:tcMar>
            <w:vAlign w:val="top"/>
          </w:tcPr>
          <w:p>
            <w:pPr>
              <w:spacing w:after="0"/>
            </w:pPr>
            <w:r/>
            <w:r>
              <w:rPr>
                <w:b w:val="0"/>
                <w:sz w:val="18"/>
              </w:rPr>
              <w:t>Plausible or similar analytics provider</w:t>
            </w:r>
          </w:p>
        </w:tc>
        <w:tc>
          <w:tcPr>
            <w:tcW w:type="dxa" w:w="3408"/>
            <w:tcMar>
              <w:top w:w="80" w:type="dxa"/>
              <w:start w:w="80" w:type="dxa"/>
              <w:bottom w:w="80" w:type="dxa"/>
              <w:end w:w="80" w:type="dxa"/>
            </w:tcMar>
            <w:vAlign w:val="top"/>
          </w:tcPr>
          <w:p>
            <w:pPr>
              <w:spacing w:after="0"/>
            </w:pPr>
            <w:r/>
            <w:r>
              <w:rPr>
                <w:b w:val="0"/>
                <w:sz w:val="18"/>
              </w:rPr>
              <w:t>Website analytics and product improvement</w:t>
            </w:r>
          </w:p>
        </w:tc>
        <w:tc>
          <w:tcPr>
            <w:tcW w:type="dxa" w:w="3408"/>
            <w:tcMar>
              <w:top w:w="80" w:type="dxa"/>
              <w:start w:w="80" w:type="dxa"/>
              <w:bottom w:w="80" w:type="dxa"/>
              <w:end w:w="80" w:type="dxa"/>
            </w:tcMar>
            <w:vAlign w:val="top"/>
          </w:tcPr>
          <w:p>
            <w:pPr>
              <w:spacing w:after="0"/>
            </w:pPr>
            <w:r/>
            <w:r>
              <w:rPr>
                <w:b w:val="0"/>
                <w:sz w:val="18"/>
              </w:rPr>
              <w:t>Aggregated usage and device information</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Firebase / Firestore or similar waitlist tooling</w:t>
            </w:r>
          </w:p>
        </w:tc>
        <w:tc>
          <w:tcPr>
            <w:tcW w:type="dxa" w:w="3408"/>
            <w:tcMar>
              <w:top w:w="80" w:type="dxa"/>
              <w:start w:w="80" w:type="dxa"/>
              <w:bottom w:w="80" w:type="dxa"/>
              <w:end w:w="80" w:type="dxa"/>
            </w:tcMar>
            <w:vAlign w:val="top"/>
            <w:shd w:fill="F7F9FB"/>
          </w:tcPr>
          <w:p>
            <w:pPr>
              <w:spacing w:after="0"/>
            </w:pPr>
            <w:r/>
            <w:r>
              <w:rPr>
                <w:b w:val="0"/>
                <w:sz w:val="18"/>
              </w:rPr>
              <w:t>Waitlist and pre-launch signups</w:t>
            </w:r>
          </w:p>
        </w:tc>
        <w:tc>
          <w:tcPr>
            <w:tcW w:type="dxa" w:w="3408"/>
            <w:tcMar>
              <w:top w:w="80" w:type="dxa"/>
              <w:start w:w="80" w:type="dxa"/>
              <w:bottom w:w="80" w:type="dxa"/>
              <w:end w:w="80" w:type="dxa"/>
            </w:tcMar>
            <w:vAlign w:val="top"/>
            <w:shd w:fill="F7F9FB"/>
          </w:tcPr>
          <w:p>
            <w:pPr>
              <w:spacing w:after="0"/>
            </w:pPr>
            <w:r/>
            <w:r>
              <w:rPr>
                <w:b w:val="0"/>
                <w:sz w:val="18"/>
              </w:rPr>
              <w:t>Email address and signup timestamp</w:t>
            </w:r>
          </w:p>
        </w:tc>
      </w:tr>
      <w:tr>
        <w:trPr>
          <w:trHeight w:hRule="atLeast"/>
        </w:trPr>
        <w:tc>
          <w:tcPr>
            <w:tcW w:type="dxa" w:w="3408"/>
            <w:tcMar>
              <w:top w:w="80" w:type="dxa"/>
              <w:start w:w="80" w:type="dxa"/>
              <w:bottom w:w="80" w:type="dxa"/>
              <w:end w:w="80" w:type="dxa"/>
            </w:tcMar>
            <w:vAlign w:val="top"/>
          </w:tcPr>
          <w:p>
            <w:pPr>
              <w:spacing w:after="0"/>
            </w:pPr>
            <w:r/>
            <w:r>
              <w:rPr>
                <w:b w:val="0"/>
                <w:sz w:val="18"/>
              </w:rPr>
              <w:t>Security, logging, and monitoring providers</w:t>
            </w:r>
          </w:p>
        </w:tc>
        <w:tc>
          <w:tcPr>
            <w:tcW w:type="dxa" w:w="3408"/>
            <w:tcMar>
              <w:top w:w="80" w:type="dxa"/>
              <w:start w:w="80" w:type="dxa"/>
              <w:bottom w:w="80" w:type="dxa"/>
              <w:end w:w="80" w:type="dxa"/>
            </w:tcMar>
            <w:vAlign w:val="top"/>
          </w:tcPr>
          <w:p>
            <w:pPr>
              <w:spacing w:after="0"/>
            </w:pPr>
            <w:r/>
            <w:r>
              <w:rPr>
                <w:b w:val="0"/>
                <w:sz w:val="18"/>
              </w:rPr>
              <w:t>Fraud prevention, incident detection, security monitoring</w:t>
            </w:r>
          </w:p>
        </w:tc>
        <w:tc>
          <w:tcPr>
            <w:tcW w:type="dxa" w:w="3408"/>
            <w:tcMar>
              <w:top w:w="80" w:type="dxa"/>
              <w:start w:w="80" w:type="dxa"/>
              <w:bottom w:w="80" w:type="dxa"/>
              <w:end w:w="80" w:type="dxa"/>
            </w:tcMar>
            <w:vAlign w:val="top"/>
          </w:tcPr>
          <w:p>
            <w:pPr>
              <w:spacing w:after="0"/>
            </w:pPr>
            <w:r/>
            <w:r>
              <w:rPr>
                <w:b w:val="0"/>
                <w:sz w:val="18"/>
              </w:rPr>
              <w:t>Logs, device data, IP address, security events</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Customer support tools</w:t>
            </w:r>
          </w:p>
        </w:tc>
        <w:tc>
          <w:tcPr>
            <w:tcW w:type="dxa" w:w="3408"/>
            <w:tcMar>
              <w:top w:w="80" w:type="dxa"/>
              <w:start w:w="80" w:type="dxa"/>
              <w:bottom w:w="80" w:type="dxa"/>
              <w:end w:w="80" w:type="dxa"/>
            </w:tcMar>
            <w:vAlign w:val="top"/>
            <w:shd w:fill="F7F9FB"/>
          </w:tcPr>
          <w:p>
            <w:pPr>
              <w:spacing w:after="0"/>
            </w:pPr>
            <w:r/>
            <w:r>
              <w:rPr>
                <w:b w:val="0"/>
                <w:sz w:val="18"/>
              </w:rPr>
              <w:t>Support requests and user communications</w:t>
            </w:r>
          </w:p>
        </w:tc>
        <w:tc>
          <w:tcPr>
            <w:tcW w:type="dxa" w:w="3408"/>
            <w:tcMar>
              <w:top w:w="80" w:type="dxa"/>
              <w:start w:w="80" w:type="dxa"/>
              <w:bottom w:w="80" w:type="dxa"/>
              <w:end w:w="80" w:type="dxa"/>
            </w:tcMar>
            <w:vAlign w:val="top"/>
            <w:shd w:fill="F7F9FB"/>
          </w:tcPr>
          <w:p>
            <w:pPr>
              <w:spacing w:after="0"/>
            </w:pPr>
            <w:r/>
            <w:r>
              <w:rPr>
                <w:b w:val="0"/>
                <w:sz w:val="18"/>
              </w:rPr>
              <w:t>Contact details, support messages, attachments</w:t>
            </w:r>
          </w:p>
        </w:tc>
      </w:tr>
      <w:tr>
        <w:trPr>
          <w:trHeight w:hRule="atLeast"/>
        </w:trPr>
        <w:tc>
          <w:tcPr>
            <w:tcW w:type="dxa" w:w="3408"/>
            <w:tcMar>
              <w:top w:w="80" w:type="dxa"/>
              <w:start w:w="80" w:type="dxa"/>
              <w:bottom w:w="80" w:type="dxa"/>
              <w:end w:w="80" w:type="dxa"/>
            </w:tcMar>
            <w:vAlign w:val="top"/>
          </w:tcPr>
          <w:p>
            <w:pPr>
              <w:spacing w:after="0"/>
            </w:pPr>
            <w:r/>
            <w:r>
              <w:rPr>
                <w:b w:val="0"/>
                <w:sz w:val="18"/>
              </w:rPr>
              <w:t>Cloud infrastructure providers</w:t>
            </w:r>
          </w:p>
        </w:tc>
        <w:tc>
          <w:tcPr>
            <w:tcW w:type="dxa" w:w="3408"/>
            <w:tcMar>
              <w:top w:w="80" w:type="dxa"/>
              <w:start w:w="80" w:type="dxa"/>
              <w:bottom w:w="80" w:type="dxa"/>
              <w:end w:w="80" w:type="dxa"/>
            </w:tcMar>
            <w:vAlign w:val="top"/>
          </w:tcPr>
          <w:p>
            <w:pPr>
              <w:spacing w:after="0"/>
            </w:pPr>
            <w:r/>
            <w:r>
              <w:rPr>
                <w:b w:val="0"/>
                <w:sz w:val="18"/>
              </w:rPr>
              <w:t>Hosting and storage</w:t>
            </w:r>
          </w:p>
        </w:tc>
        <w:tc>
          <w:tcPr>
            <w:tcW w:type="dxa" w:w="3408"/>
            <w:tcMar>
              <w:top w:w="80" w:type="dxa"/>
              <w:start w:w="80" w:type="dxa"/>
              <w:bottom w:w="80" w:type="dxa"/>
              <w:end w:w="80" w:type="dxa"/>
            </w:tcMar>
            <w:vAlign w:val="top"/>
          </w:tcPr>
          <w:p>
            <w:pPr>
              <w:spacing w:after="0"/>
            </w:pPr>
            <w:r/>
            <w:r>
              <w:rPr>
                <w:b w:val="0"/>
                <w:sz w:val="18"/>
              </w:rPr>
              <w:t>Service data, logs, files, backups</w:t>
            </w:r>
          </w:p>
        </w:tc>
      </w:tr>
      <w:tr>
        <w:trPr>
          <w:trHeight w:hRule="atLeast"/>
        </w:trPr>
        <w:tc>
          <w:tcPr>
            <w:tcW w:type="dxa" w:w="3408"/>
            <w:tcMar>
              <w:top w:w="80" w:type="dxa"/>
              <w:start w:w="80" w:type="dxa"/>
              <w:bottom w:w="80" w:type="dxa"/>
              <w:end w:w="80" w:type="dxa"/>
            </w:tcMar>
            <w:vAlign w:val="top"/>
            <w:shd w:fill="F7F9FB"/>
          </w:tcPr>
          <w:p>
            <w:pPr>
              <w:spacing w:after="0"/>
            </w:pPr>
            <w:r/>
            <w:r>
              <w:rPr>
                <w:b w:val="0"/>
                <w:sz w:val="18"/>
              </w:rPr>
              <w:t>Compliance and legal service providers</w:t>
            </w:r>
          </w:p>
        </w:tc>
        <w:tc>
          <w:tcPr>
            <w:tcW w:type="dxa" w:w="3408"/>
            <w:tcMar>
              <w:top w:w="80" w:type="dxa"/>
              <w:start w:w="80" w:type="dxa"/>
              <w:bottom w:w="80" w:type="dxa"/>
              <w:end w:w="80" w:type="dxa"/>
            </w:tcMar>
            <w:vAlign w:val="top"/>
            <w:shd w:fill="F7F9FB"/>
          </w:tcPr>
          <w:p>
            <w:pPr>
              <w:spacing w:after="0"/>
            </w:pPr>
            <w:r/>
            <w:r>
              <w:rPr>
                <w:b w:val="0"/>
                <w:sz w:val="18"/>
              </w:rPr>
              <w:t>Compliance, legal, audit, and risk support</w:t>
            </w:r>
          </w:p>
        </w:tc>
        <w:tc>
          <w:tcPr>
            <w:tcW w:type="dxa" w:w="3408"/>
            <w:tcMar>
              <w:top w:w="80" w:type="dxa"/>
              <w:start w:w="80" w:type="dxa"/>
              <w:bottom w:w="80" w:type="dxa"/>
              <w:end w:w="80" w:type="dxa"/>
            </w:tcMar>
            <w:vAlign w:val="top"/>
            <w:shd w:fill="F7F9FB"/>
          </w:tcPr>
          <w:p>
            <w:pPr>
              <w:spacing w:after="0"/>
            </w:pPr>
            <w:r/>
            <w:r>
              <w:rPr>
                <w:b w:val="0"/>
                <w:sz w:val="18"/>
              </w:rPr>
              <w:t>Relevant records and communications</w:t>
            </w:r>
          </w:p>
        </w:tc>
      </w:tr>
    </w:tbl>
    <w:p/>
    <w:p>
      <w:r>
        <w:rPr>
          <w:b/>
          <w:sz w:val="20"/>
        </w:rPr>
        <w:t>Additional service providers:</w:t>
      </w:r>
      <w:r>
        <w:rPr>
          <w:sz w:val="20"/>
        </w:rPr>
        <w:t xml:space="preserve"> Examples of the categories of service providers we use include: cloud hosting, database, authentication, and storage (such as Supabase); AI processing (such as OpenAI); maps, places, and location services (such as Google Maps Platform); waitlist, analytics, and marketing infrastructure (such as Google Firebase); payment processing (such as Apple and the App Store); and email delivery, customer support, security, and error-monitoring providers. A current list of key service providers is available on request at privacy@yourdategenie.com.</w:t>
      </w:r>
    </w:p>
    <w:p>
      <w:pPr>
        <w:pStyle w:val="Heading2"/>
      </w:pPr>
      <w:r>
        <w:t>10.2 Payment Parties</w:t>
      </w:r>
    </w:p>
    <w:p>
      <w:r>
        <w:rPr>
          <w:sz w:val="20"/>
        </w:rPr>
        <w:t>Payment information may be shared with payment processors, card networks, banks, fraud prevention providers, app stores, and other parties needed to process payments, prevent fraud, complete refunds, resolve chargebacks, and comply with payment obligations.</w:t>
      </w:r>
    </w:p>
    <w:p>
      <w:pPr>
        <w:pStyle w:val="Heading2"/>
      </w:pPr>
      <w:r>
        <w:t>10.3 Legal, Safety, and Compliance Disclosures</w:t>
      </w:r>
    </w:p>
    <w:p>
      <w:r>
        <w:rPr>
          <w:sz w:val="20"/>
        </w:rPr>
        <w:t>We may disclose information if we believe it is reasonably necessary to:</w:t>
      </w:r>
    </w:p>
    <w:p>
      <w:pPr>
        <w:pStyle w:val="ListBullet"/>
        <w:spacing w:after="40"/>
        <w:ind w:left="317" w:hanging="216"/>
      </w:pPr>
      <w:r>
        <w:rPr>
          <w:sz w:val="19"/>
        </w:rPr>
        <w:t>Comply with law</w:t>
      </w:r>
    </w:p>
    <w:p>
      <w:pPr>
        <w:pStyle w:val="ListBullet"/>
        <w:spacing w:after="40"/>
        <w:ind w:left="317" w:hanging="216"/>
      </w:pPr>
      <w:r>
        <w:rPr>
          <w:sz w:val="19"/>
        </w:rPr>
        <w:t>Respond to lawful requests</w:t>
      </w:r>
    </w:p>
    <w:p>
      <w:pPr>
        <w:pStyle w:val="ListBullet"/>
        <w:spacing w:after="40"/>
        <w:ind w:left="317" w:hanging="216"/>
      </w:pPr>
      <w:r>
        <w:rPr>
          <w:sz w:val="19"/>
        </w:rPr>
        <w:t>Protect rights, safety, or property</w:t>
      </w:r>
    </w:p>
    <w:p>
      <w:pPr>
        <w:pStyle w:val="ListBullet"/>
        <w:spacing w:after="40"/>
        <w:ind w:left="317" w:hanging="216"/>
      </w:pPr>
      <w:r>
        <w:rPr>
          <w:sz w:val="19"/>
        </w:rPr>
        <w:t>Investigate fraud, abuse, or security issues</w:t>
      </w:r>
    </w:p>
    <w:p>
      <w:pPr>
        <w:pStyle w:val="ListBullet"/>
        <w:spacing w:after="40"/>
        <w:ind w:left="317" w:hanging="216"/>
      </w:pPr>
      <w:r>
        <w:rPr>
          <w:sz w:val="19"/>
        </w:rPr>
        <w:t>Enforce our terms or policies</w:t>
      </w:r>
    </w:p>
    <w:p>
      <w:pPr>
        <w:pStyle w:val="ListBullet"/>
        <w:spacing w:after="40"/>
        <w:ind w:left="317" w:hanging="216"/>
      </w:pPr>
      <w:r>
        <w:rPr>
          <w:sz w:val="19"/>
        </w:rPr>
        <w:t>Meet audit, regulatory, tax, accounting, or payment obligations</w:t>
      </w:r>
    </w:p>
    <w:p>
      <w:pPr>
        <w:pStyle w:val="ListBullet"/>
        <w:spacing w:after="40"/>
        <w:ind w:left="317" w:hanging="216"/>
      </w:pPr>
      <w:r>
        <w:rPr>
          <w:sz w:val="19"/>
        </w:rPr>
        <w:t>Defend or bring legal claims</w:t>
      </w:r>
    </w:p>
    <w:p>
      <w:pPr>
        <w:pStyle w:val="Heading2"/>
      </w:pPr>
      <w:r>
        <w:t>10.4 Business Transfers</w:t>
      </w:r>
    </w:p>
    <w:p>
      <w:r>
        <w:rPr>
          <w:sz w:val="20"/>
        </w:rPr>
        <w:t>If we are involved in a merger, acquisition, financing, reorganization, bankruptcy, or sale of assets, personal information may be transferred as part of that transaction. We will require any successor to respect applicable privacy commitments.</w:t>
      </w:r>
    </w:p>
    <w:p>
      <w:pPr>
        <w:pStyle w:val="Heading2"/>
      </w:pPr>
      <w:r>
        <w:t>10.5 Aggregated or De-Identified Information</w:t>
      </w:r>
    </w:p>
    <w:p>
      <w:r>
        <w:rPr>
          <w:sz w:val="20"/>
        </w:rPr>
        <w:t>We may share aggregated or de-identified information that cannot reasonably identify you, such as general usage trends, feature performance, or popular planning categories.</w:t>
      </w:r>
    </w:p>
    <w:p>
      <w:pPr>
        <w:pStyle w:val="Heading2"/>
      </w:pPr>
      <w:r>
        <w:t>10.6 With Your Direction or Consent</w:t>
      </w:r>
    </w:p>
    <w:p>
      <w:r>
        <w:rPr>
          <w:sz w:val="20"/>
        </w:rPr>
        <w:t>We may share information when you direct us to do so, when you use a feature that involves sharing, or when you give consent.</w:t>
      </w:r>
    </w:p>
    <w:p>
      <w:pPr>
        <w:pStyle w:val="Heading1"/>
      </w:pPr>
      <w:r>
        <w:t>11. Payment Security and PCI</w:t>
      </w:r>
    </w:p>
    <w:p>
      <w:r>
        <w:rPr>
          <w:sz w:val="20"/>
        </w:rPr>
        <w:t>Payment card information requires special care. If we collect, process, store, or transmit cardholder data, we maintain controls designed to protect that data and support PCI DSS obligations.</w:t>
      </w:r>
    </w:p>
    <w:p>
      <w:r>
        <w:rPr>
          <w:b/>
          <w:sz w:val="20"/>
        </w:rPr>
        <w:t>Our payment security practices may include:</w:t>
      </w:r>
      <w:r>
        <w:rPr>
          <w:sz w:val="20"/>
        </w:rPr>
      </w:r>
    </w:p>
    <w:p>
      <w:pPr>
        <w:pStyle w:val="ListBullet"/>
        <w:spacing w:after="40"/>
        <w:ind w:left="317" w:hanging="216"/>
      </w:pPr>
      <w:r>
        <w:rPr>
          <w:sz w:val="19"/>
        </w:rPr>
        <w:t>Limiting payment data collection to what is needed</w:t>
      </w:r>
    </w:p>
    <w:p>
      <w:pPr>
        <w:pStyle w:val="ListBullet"/>
        <w:spacing w:after="40"/>
        <w:ind w:left="317" w:hanging="216"/>
      </w:pPr>
      <w:r>
        <w:rPr>
          <w:sz w:val="19"/>
        </w:rPr>
        <w:t>Using PCI-compliant payment providers and tokenized payment flows where possible</w:t>
      </w:r>
    </w:p>
    <w:p>
      <w:pPr>
        <w:pStyle w:val="ListBullet"/>
        <w:spacing w:after="40"/>
        <w:ind w:left="317" w:hanging="216"/>
      </w:pPr>
      <w:r>
        <w:rPr>
          <w:sz w:val="19"/>
        </w:rPr>
        <w:t>Restricting access to payment information based on job need</w:t>
      </w:r>
    </w:p>
    <w:p>
      <w:pPr>
        <w:pStyle w:val="ListBullet"/>
        <w:spacing w:after="40"/>
        <w:ind w:left="317" w:hanging="216"/>
      </w:pPr>
      <w:r>
        <w:rPr>
          <w:sz w:val="19"/>
        </w:rPr>
        <w:t>Encrypting payment information in transit and, where applicable, at rest</w:t>
      </w:r>
    </w:p>
    <w:p>
      <w:pPr>
        <w:pStyle w:val="ListBullet"/>
        <w:spacing w:after="40"/>
        <w:ind w:left="317" w:hanging="216"/>
      </w:pPr>
      <w:r>
        <w:rPr>
          <w:sz w:val="19"/>
        </w:rPr>
        <w:t>Maintaining logs and monitoring for payment-related systems</w:t>
      </w:r>
    </w:p>
    <w:p>
      <w:pPr>
        <w:pStyle w:val="ListBullet"/>
        <w:spacing w:after="40"/>
        <w:ind w:left="317" w:hanging="216"/>
      </w:pPr>
      <w:r>
        <w:rPr>
          <w:sz w:val="19"/>
        </w:rPr>
        <w:t>Not storing card verification codes after authorization unless legally permitted and required</w:t>
      </w:r>
    </w:p>
    <w:p>
      <w:pPr>
        <w:pStyle w:val="ListBullet"/>
        <w:spacing w:after="40"/>
        <w:ind w:left="317" w:hanging="216"/>
      </w:pPr>
      <w:r>
        <w:rPr>
          <w:sz w:val="19"/>
        </w:rPr>
        <w:t>Reviewing vendors that handle payment data</w:t>
      </w:r>
    </w:p>
    <w:p>
      <w:pPr>
        <w:pStyle w:val="ListBullet"/>
        <w:spacing w:after="40"/>
        <w:ind w:left="317" w:hanging="216"/>
      </w:pPr>
      <w:r>
        <w:rPr>
          <w:sz w:val="19"/>
        </w:rPr>
        <w:t>Retaining payment records only as long as needed for payment, tax, accounting, fraud prevention, dispute, chargeback, or legal purposes</w:t>
      </w:r>
    </w:p>
    <w:p>
      <w:pPr>
        <w:pStyle w:val="ListBullet"/>
        <w:spacing w:after="40"/>
        <w:ind w:left="317" w:hanging="216"/>
      </w:pPr>
      <w:r>
        <w:rPr>
          <w:sz w:val="19"/>
        </w:rPr>
        <w:t>Deleting, redacting, or restricting card data submitted through non-payment channels</w:t>
      </w:r>
    </w:p>
    <w:p>
      <w:r>
        <w:rPr>
          <w:sz w:val="20"/>
        </w:rPr>
        <w:t>Please do not send payment card numbers through support email, chat, AI prompts, surveys, screenshots, or other non-payment channels.</w:t>
      </w:r>
    </w:p>
    <w:p>
      <w:pPr>
        <w:pStyle w:val="Heading1"/>
      </w:pPr>
      <w:r>
        <w:t>12. Security</w:t>
      </w:r>
    </w:p>
    <w:p>
      <w:r>
        <w:rPr>
          <w:sz w:val="20"/>
        </w:rPr>
        <w:t>We use administrative, technical, and physical safeguards designed to protect personal information. These safeguards may include:</w:t>
      </w:r>
    </w:p>
    <w:p>
      <w:pPr>
        <w:pStyle w:val="ListBullet"/>
        <w:spacing w:after="40"/>
        <w:ind w:left="317" w:hanging="216"/>
      </w:pPr>
      <w:r>
        <w:rPr>
          <w:sz w:val="19"/>
        </w:rPr>
        <w:t>Encryption in transit using HTTPS/TLS</w:t>
      </w:r>
    </w:p>
    <w:p>
      <w:pPr>
        <w:pStyle w:val="ListBullet"/>
        <w:spacing w:after="40"/>
        <w:ind w:left="317" w:hanging="216"/>
      </w:pPr>
      <w:r>
        <w:rPr>
          <w:sz w:val="19"/>
        </w:rPr>
        <w:t>Encryption at rest where supported by our infrastructure providers</w:t>
      </w:r>
    </w:p>
    <w:p>
      <w:pPr>
        <w:pStyle w:val="ListBullet"/>
        <w:spacing w:after="40"/>
        <w:ind w:left="317" w:hanging="216"/>
      </w:pPr>
      <w:r>
        <w:rPr>
          <w:sz w:val="19"/>
        </w:rPr>
        <w:t>Role-based access controls</w:t>
      </w:r>
    </w:p>
    <w:p>
      <w:pPr>
        <w:pStyle w:val="ListBullet"/>
        <w:spacing w:after="40"/>
        <w:ind w:left="317" w:hanging="216"/>
      </w:pPr>
      <w:r>
        <w:rPr>
          <w:sz w:val="19"/>
        </w:rPr>
        <w:t>Least privilege access</w:t>
      </w:r>
    </w:p>
    <w:p>
      <w:pPr>
        <w:pStyle w:val="ListBullet"/>
        <w:spacing w:after="40"/>
        <w:ind w:left="317" w:hanging="216"/>
      </w:pPr>
      <w:r>
        <w:rPr>
          <w:sz w:val="19"/>
        </w:rPr>
        <w:t>Multi-factor authentication for administrative systems where available</w:t>
      </w:r>
    </w:p>
    <w:p>
      <w:pPr>
        <w:pStyle w:val="ListBullet"/>
        <w:spacing w:after="40"/>
        <w:ind w:left="317" w:hanging="216"/>
      </w:pPr>
      <w:r>
        <w:rPr>
          <w:sz w:val="19"/>
        </w:rPr>
        <w:t>Secure authentication and session controls</w:t>
      </w:r>
    </w:p>
    <w:p>
      <w:pPr>
        <w:pStyle w:val="ListBullet"/>
        <w:spacing w:after="40"/>
        <w:ind w:left="317" w:hanging="216"/>
      </w:pPr>
      <w:r>
        <w:rPr>
          <w:sz w:val="19"/>
        </w:rPr>
        <w:t>Logging, monitoring, and alerting</w:t>
      </w:r>
    </w:p>
    <w:p>
      <w:pPr>
        <w:pStyle w:val="ListBullet"/>
        <w:spacing w:after="40"/>
        <w:ind w:left="317" w:hanging="216"/>
      </w:pPr>
      <w:r>
        <w:rPr>
          <w:sz w:val="19"/>
        </w:rPr>
        <w:t>Vulnerability and patch management</w:t>
      </w:r>
    </w:p>
    <w:p>
      <w:pPr>
        <w:pStyle w:val="ListBullet"/>
        <w:spacing w:after="40"/>
        <w:ind w:left="317" w:hanging="216"/>
      </w:pPr>
      <w:r>
        <w:rPr>
          <w:sz w:val="19"/>
        </w:rPr>
        <w:t>Secure development practices</w:t>
      </w:r>
    </w:p>
    <w:p>
      <w:pPr>
        <w:pStyle w:val="ListBullet"/>
        <w:spacing w:after="40"/>
        <w:ind w:left="317" w:hanging="216"/>
      </w:pPr>
      <w:r>
        <w:rPr>
          <w:sz w:val="19"/>
        </w:rPr>
        <w:t>Backups and disaster recovery controls</w:t>
      </w:r>
    </w:p>
    <w:p>
      <w:pPr>
        <w:pStyle w:val="ListBullet"/>
        <w:spacing w:after="40"/>
        <w:ind w:left="317" w:hanging="216"/>
      </w:pPr>
      <w:r>
        <w:rPr>
          <w:sz w:val="19"/>
        </w:rPr>
        <w:t>Vendor security reviews</w:t>
      </w:r>
    </w:p>
    <w:p>
      <w:pPr>
        <w:pStyle w:val="ListBullet"/>
        <w:spacing w:after="40"/>
        <w:ind w:left="317" w:hanging="216"/>
      </w:pPr>
      <w:r>
        <w:rPr>
          <w:sz w:val="19"/>
        </w:rPr>
        <w:t>Employee privacy and security training</w:t>
      </w:r>
    </w:p>
    <w:p>
      <w:pPr>
        <w:pStyle w:val="ListBullet"/>
        <w:spacing w:after="40"/>
        <w:ind w:left="317" w:hanging="216"/>
      </w:pPr>
      <w:r>
        <w:rPr>
          <w:sz w:val="19"/>
        </w:rPr>
        <w:t>Incident response procedures</w:t>
      </w:r>
    </w:p>
    <w:p>
      <w:pPr>
        <w:pStyle w:val="ListBullet"/>
        <w:spacing w:after="40"/>
        <w:ind w:left="317" w:hanging="216"/>
      </w:pPr>
      <w:r>
        <w:rPr>
          <w:sz w:val="19"/>
        </w:rPr>
        <w:t>Policies for access, acceptable use, and data handling</w:t>
      </w:r>
    </w:p>
    <w:p>
      <w:pPr>
        <w:pStyle w:val="ListBullet"/>
        <w:spacing w:after="40"/>
        <w:ind w:left="317" w:hanging="216"/>
      </w:pPr>
      <w:r>
        <w:rPr>
          <w:sz w:val="19"/>
        </w:rPr>
        <w:t>Payment security controls where applicable</w:t>
      </w:r>
    </w:p>
    <w:p>
      <w:r>
        <w:rPr>
          <w:sz w:val="20"/>
        </w:rPr>
        <w:t>No online service is completely secure. We cannot guarantee absolute security, but we work to protect information using reasonable and appropriate safeguards.</w:t>
      </w:r>
    </w:p>
    <w:p>
      <w:pPr>
        <w:pStyle w:val="Heading1"/>
      </w:pPr>
      <w:r>
        <w:t>13. Data Retention</w:t>
      </w:r>
    </w:p>
    <w:p>
      <w:r>
        <w:rPr>
          <w:sz w:val="20"/>
        </w:rPr>
        <w:t>We keep personal information only as long as reasonably needed for the purposes described in this policy, unless a longer period is required by law, contract, payment rules, tax obligations, accounting obligations, security needs, fraud prevention, dispute resolution, or legal claims.</w:t>
      </w:r>
    </w:p>
    <w:tbl>
      <w:tblPr>
        <w:tblStyle w:val="TableGrid"/>
        <w:tblW w:type="auto" w:w="0"/>
        <w:jc w:val="center"/>
        <w:tblLook w:firstColumn="1" w:firstRow="1" w:lastColumn="0" w:lastRow="0" w:noHBand="0" w:noVBand="1" w:val="04A0"/>
      </w:tblPr>
      <w:tblGrid>
        <w:gridCol w:w="5112"/>
        <w:gridCol w:w="5112"/>
      </w:tblGrid>
      <w:tr>
        <w:trPr>
          <w:trHeight w:hRule="atLeast"/>
        </w:trPr>
        <w:tc>
          <w:tcPr>
            <w:tcW w:type="dxa" w:w="5112"/>
            <w:tcMar>
              <w:top w:w="80" w:type="dxa"/>
              <w:start w:w="80" w:type="dxa"/>
              <w:bottom w:w="80" w:type="dxa"/>
              <w:end w:w="80" w:type="dxa"/>
            </w:tcMar>
            <w:vAlign w:val="top"/>
            <w:shd w:fill="D9EAF7"/>
          </w:tcPr>
          <w:p>
            <w:pPr>
              <w:spacing w:after="0"/>
            </w:pPr>
            <w:r/>
            <w:r>
              <w:rPr>
                <w:b/>
                <w:sz w:val="18"/>
              </w:rPr>
              <w:t>Data Type</w:t>
            </w:r>
          </w:p>
        </w:tc>
        <w:tc>
          <w:tcPr>
            <w:tcW w:type="dxa" w:w="5112"/>
            <w:tcMar>
              <w:top w:w="80" w:type="dxa"/>
              <w:start w:w="80" w:type="dxa"/>
              <w:bottom w:w="80" w:type="dxa"/>
              <w:end w:w="80" w:type="dxa"/>
            </w:tcMar>
            <w:vAlign w:val="top"/>
            <w:shd w:fill="D9EAF7"/>
          </w:tcPr>
          <w:p>
            <w:pPr>
              <w:spacing w:after="0"/>
            </w:pPr>
            <w:r/>
            <w:r>
              <w:rPr>
                <w:b/>
                <w:sz w:val="18"/>
              </w:rPr>
              <w:t>Typical Retention Approach</w:t>
            </w:r>
          </w:p>
        </w:tc>
      </w:tr>
      <w:tr>
        <w:trPr>
          <w:trHeight w:hRule="atLeast"/>
        </w:trPr>
        <w:tc>
          <w:tcPr>
            <w:tcW w:type="dxa" w:w="5112"/>
            <w:tcMar>
              <w:top w:w="80" w:type="dxa"/>
              <w:start w:w="80" w:type="dxa"/>
              <w:bottom w:w="80" w:type="dxa"/>
              <w:end w:w="80" w:type="dxa"/>
            </w:tcMar>
            <w:vAlign w:val="top"/>
          </w:tcPr>
          <w:p>
            <w:pPr>
              <w:spacing w:after="0"/>
            </w:pPr>
            <w:r/>
            <w:r>
              <w:rPr>
                <w:b w:val="0"/>
                <w:sz w:val="18"/>
              </w:rPr>
              <w:t>Account data</w:t>
            </w:r>
          </w:p>
        </w:tc>
        <w:tc>
          <w:tcPr>
            <w:tcW w:type="dxa" w:w="5112"/>
            <w:tcMar>
              <w:top w:w="80" w:type="dxa"/>
              <w:start w:w="80" w:type="dxa"/>
              <w:bottom w:w="80" w:type="dxa"/>
              <w:end w:w="80" w:type="dxa"/>
            </w:tcMar>
            <w:vAlign w:val="top"/>
          </w:tcPr>
          <w:p>
            <w:pPr>
              <w:spacing w:after="0"/>
            </w:pPr>
            <w:r/>
            <w:r>
              <w:rPr>
                <w:b w:val="0"/>
                <w:sz w:val="18"/>
              </w:rPr>
              <w:t>Kept while your account is active and for [INSERT RETENTION PERIOD] after inactivity or account closure, unless longer retention is required.</w:t>
            </w:r>
          </w:p>
        </w:tc>
      </w:tr>
      <w:tr>
        <w:trPr>
          <w:trHeight w:hRule="atLeast"/>
        </w:trPr>
        <w:tc>
          <w:tcPr>
            <w:tcW w:type="dxa" w:w="5112"/>
            <w:tcMar>
              <w:top w:w="80" w:type="dxa"/>
              <w:start w:w="80" w:type="dxa"/>
              <w:bottom w:w="80" w:type="dxa"/>
              <w:end w:w="80" w:type="dxa"/>
            </w:tcMar>
            <w:vAlign w:val="top"/>
            <w:shd w:fill="F7F9FB"/>
          </w:tcPr>
          <w:p>
            <w:pPr>
              <w:spacing w:after="0"/>
            </w:pPr>
            <w:r/>
            <w:r>
              <w:rPr>
                <w:b w:val="0"/>
                <w:sz w:val="18"/>
              </w:rPr>
              <w:t>AI prompts and outputs</w:t>
            </w:r>
          </w:p>
        </w:tc>
        <w:tc>
          <w:tcPr>
            <w:tcW w:type="dxa" w:w="5112"/>
            <w:tcMar>
              <w:top w:w="80" w:type="dxa"/>
              <w:start w:w="80" w:type="dxa"/>
              <w:bottom w:w="80" w:type="dxa"/>
              <w:end w:w="80" w:type="dxa"/>
            </w:tcMar>
            <w:vAlign w:val="top"/>
            <w:shd w:fill="F7F9FB"/>
          </w:tcPr>
          <w:p>
            <w:pPr>
              <w:spacing w:after="0"/>
            </w:pPr>
            <w:r/>
            <w:r>
              <w:rPr>
                <w:b w:val="0"/>
                <w:sz w:val="18"/>
              </w:rPr>
              <w:t>Kept for [INSERT RETENTION PERIOD] or according to product settings, support needs, safety review, or legal requirements.</w:t>
            </w:r>
          </w:p>
        </w:tc>
      </w:tr>
      <w:tr>
        <w:trPr>
          <w:trHeight w:hRule="atLeast"/>
        </w:trPr>
        <w:tc>
          <w:tcPr>
            <w:tcW w:type="dxa" w:w="5112"/>
            <w:tcMar>
              <w:top w:w="80" w:type="dxa"/>
              <w:start w:w="80" w:type="dxa"/>
              <w:bottom w:w="80" w:type="dxa"/>
              <w:end w:w="80" w:type="dxa"/>
            </w:tcMar>
            <w:vAlign w:val="top"/>
          </w:tcPr>
          <w:p>
            <w:pPr>
              <w:spacing w:after="0"/>
            </w:pPr>
            <w:r/>
            <w:r>
              <w:rPr>
                <w:b w:val="0"/>
                <w:sz w:val="18"/>
              </w:rPr>
              <w:t>Saved plans, memories, photos, and notes</w:t>
            </w:r>
          </w:p>
        </w:tc>
        <w:tc>
          <w:tcPr>
            <w:tcW w:type="dxa" w:w="5112"/>
            <w:tcMar>
              <w:top w:w="80" w:type="dxa"/>
              <w:start w:w="80" w:type="dxa"/>
              <w:bottom w:w="80" w:type="dxa"/>
              <w:end w:w="80" w:type="dxa"/>
            </w:tcMar>
            <w:vAlign w:val="top"/>
          </w:tcPr>
          <w:p>
            <w:pPr>
              <w:spacing w:after="0"/>
            </w:pPr>
            <w:r/>
            <w:r>
              <w:rPr>
                <w:b w:val="0"/>
                <w:sz w:val="18"/>
              </w:rPr>
              <w:t>Kept until you delete them, delete your account, or ask us to delete them, subject to legal limits.</w:t>
            </w:r>
          </w:p>
        </w:tc>
      </w:tr>
      <w:tr>
        <w:trPr>
          <w:trHeight w:hRule="atLeast"/>
        </w:trPr>
        <w:tc>
          <w:tcPr>
            <w:tcW w:type="dxa" w:w="5112"/>
            <w:tcMar>
              <w:top w:w="80" w:type="dxa"/>
              <w:start w:w="80" w:type="dxa"/>
              <w:bottom w:w="80" w:type="dxa"/>
              <w:end w:w="80" w:type="dxa"/>
            </w:tcMar>
            <w:vAlign w:val="top"/>
            <w:shd w:fill="F7F9FB"/>
          </w:tcPr>
          <w:p>
            <w:pPr>
              <w:spacing w:after="0"/>
            </w:pPr>
            <w:r/>
            <w:r>
              <w:rPr>
                <w:b w:val="0"/>
                <w:sz w:val="18"/>
              </w:rPr>
              <w:t>Partner planning sessions</w:t>
            </w:r>
          </w:p>
        </w:tc>
        <w:tc>
          <w:tcPr>
            <w:tcW w:type="dxa" w:w="5112"/>
            <w:tcMar>
              <w:top w:w="80" w:type="dxa"/>
              <w:start w:w="80" w:type="dxa"/>
              <w:bottom w:w="80" w:type="dxa"/>
              <w:end w:w="80" w:type="dxa"/>
            </w:tcMar>
            <w:vAlign w:val="top"/>
            <w:shd w:fill="F7F9FB"/>
          </w:tcPr>
          <w:p>
            <w:pPr>
              <w:spacing w:after="0"/>
            </w:pPr>
            <w:r/>
            <w:r>
              <w:rPr>
                <w:b w:val="0"/>
                <w:sz w:val="18"/>
              </w:rPr>
              <w:t>Kept for [INSERT RETENTION PERIOD] after the session ends or according to account settings.</w:t>
            </w:r>
          </w:p>
        </w:tc>
      </w:tr>
      <w:tr>
        <w:trPr>
          <w:trHeight w:hRule="atLeast"/>
        </w:trPr>
        <w:tc>
          <w:tcPr>
            <w:tcW w:type="dxa" w:w="5112"/>
            <w:tcMar>
              <w:top w:w="80" w:type="dxa"/>
              <w:start w:w="80" w:type="dxa"/>
              <w:bottom w:w="80" w:type="dxa"/>
              <w:end w:w="80" w:type="dxa"/>
            </w:tcMar>
            <w:vAlign w:val="top"/>
          </w:tcPr>
          <w:p>
            <w:pPr>
              <w:spacing w:after="0"/>
            </w:pPr>
            <w:r/>
            <w:r>
              <w:rPr>
                <w:b w:val="0"/>
                <w:sz w:val="18"/>
              </w:rPr>
              <w:t>Payment and transaction records</w:t>
            </w:r>
          </w:p>
        </w:tc>
        <w:tc>
          <w:tcPr>
            <w:tcW w:type="dxa" w:w="5112"/>
            <w:tcMar>
              <w:top w:w="80" w:type="dxa"/>
              <w:start w:w="80" w:type="dxa"/>
              <w:bottom w:w="80" w:type="dxa"/>
              <w:end w:w="80" w:type="dxa"/>
            </w:tcMar>
            <w:vAlign w:val="top"/>
          </w:tcPr>
          <w:p>
            <w:pPr>
              <w:spacing w:after="0"/>
            </w:pPr>
            <w:r/>
            <w:r>
              <w:rPr>
                <w:b w:val="0"/>
                <w:sz w:val="18"/>
              </w:rPr>
              <w:t>Kept as needed for billing, refunds, chargebacks, tax, accounting, fraud prevention, payment compliance, and legal obligations.</w:t>
            </w:r>
          </w:p>
        </w:tc>
      </w:tr>
      <w:tr>
        <w:trPr>
          <w:trHeight w:hRule="atLeast"/>
        </w:trPr>
        <w:tc>
          <w:tcPr>
            <w:tcW w:type="dxa" w:w="5112"/>
            <w:tcMar>
              <w:top w:w="80" w:type="dxa"/>
              <w:start w:w="80" w:type="dxa"/>
              <w:bottom w:w="80" w:type="dxa"/>
              <w:end w:w="80" w:type="dxa"/>
            </w:tcMar>
            <w:vAlign w:val="top"/>
            <w:shd w:fill="F7F9FB"/>
          </w:tcPr>
          <w:p>
            <w:pPr>
              <w:spacing w:after="0"/>
            </w:pPr>
            <w:r/>
            <w:r>
              <w:rPr>
                <w:b w:val="0"/>
                <w:sz w:val="18"/>
              </w:rPr>
              <w:t>Support messages</w:t>
            </w:r>
          </w:p>
        </w:tc>
        <w:tc>
          <w:tcPr>
            <w:tcW w:type="dxa" w:w="5112"/>
            <w:tcMar>
              <w:top w:w="80" w:type="dxa"/>
              <w:start w:w="80" w:type="dxa"/>
              <w:bottom w:w="80" w:type="dxa"/>
              <w:end w:w="80" w:type="dxa"/>
            </w:tcMar>
            <w:vAlign w:val="top"/>
            <w:shd w:fill="F7F9FB"/>
          </w:tcPr>
          <w:p>
            <w:pPr>
              <w:spacing w:after="0"/>
            </w:pPr>
            <w:r/>
            <w:r>
              <w:rPr>
                <w:b w:val="0"/>
                <w:sz w:val="18"/>
              </w:rPr>
              <w:t>Kept for [INSERT RETENTION PERIOD] to provide support, improve service quality, and manage disputes.</w:t>
            </w:r>
          </w:p>
        </w:tc>
      </w:tr>
      <w:tr>
        <w:trPr>
          <w:trHeight w:hRule="atLeast"/>
        </w:trPr>
        <w:tc>
          <w:tcPr>
            <w:tcW w:type="dxa" w:w="5112"/>
            <w:tcMar>
              <w:top w:w="80" w:type="dxa"/>
              <w:start w:w="80" w:type="dxa"/>
              <w:bottom w:w="80" w:type="dxa"/>
              <w:end w:w="80" w:type="dxa"/>
            </w:tcMar>
            <w:vAlign w:val="top"/>
          </w:tcPr>
          <w:p>
            <w:pPr>
              <w:spacing w:after="0"/>
            </w:pPr>
            <w:r/>
            <w:r>
              <w:rPr>
                <w:b w:val="0"/>
                <w:sz w:val="18"/>
              </w:rPr>
              <w:t>Security logs</w:t>
            </w:r>
          </w:p>
        </w:tc>
        <w:tc>
          <w:tcPr>
            <w:tcW w:type="dxa" w:w="5112"/>
            <w:tcMar>
              <w:top w:w="80" w:type="dxa"/>
              <w:start w:w="80" w:type="dxa"/>
              <w:bottom w:w="80" w:type="dxa"/>
              <w:end w:w="80" w:type="dxa"/>
            </w:tcMar>
            <w:vAlign w:val="top"/>
          </w:tcPr>
          <w:p>
            <w:pPr>
              <w:spacing w:after="0"/>
            </w:pPr>
            <w:r/>
            <w:r>
              <w:rPr>
                <w:b w:val="0"/>
                <w:sz w:val="18"/>
              </w:rPr>
              <w:t>Kept for [INSERT RETENTION PERIOD] for security monitoring, incident investigation, fraud prevention, and compliance.</w:t>
            </w:r>
          </w:p>
        </w:tc>
      </w:tr>
      <w:tr>
        <w:trPr>
          <w:trHeight w:hRule="atLeast"/>
        </w:trPr>
        <w:tc>
          <w:tcPr>
            <w:tcW w:type="dxa" w:w="5112"/>
            <w:tcMar>
              <w:top w:w="80" w:type="dxa"/>
              <w:start w:w="80" w:type="dxa"/>
              <w:bottom w:w="80" w:type="dxa"/>
              <w:end w:w="80" w:type="dxa"/>
            </w:tcMar>
            <w:vAlign w:val="top"/>
            <w:shd w:fill="F7F9FB"/>
          </w:tcPr>
          <w:p>
            <w:pPr>
              <w:spacing w:after="0"/>
            </w:pPr>
            <w:r/>
            <w:r>
              <w:rPr>
                <w:b w:val="0"/>
                <w:sz w:val="18"/>
              </w:rPr>
              <w:t>Marketing records</w:t>
            </w:r>
          </w:p>
        </w:tc>
        <w:tc>
          <w:tcPr>
            <w:tcW w:type="dxa" w:w="5112"/>
            <w:tcMar>
              <w:top w:w="80" w:type="dxa"/>
              <w:start w:w="80" w:type="dxa"/>
              <w:bottom w:w="80" w:type="dxa"/>
              <w:end w:w="80" w:type="dxa"/>
            </w:tcMar>
            <w:vAlign w:val="top"/>
            <w:shd w:fill="F7F9FB"/>
          </w:tcPr>
          <w:p>
            <w:pPr>
              <w:spacing w:after="0"/>
            </w:pPr>
            <w:r/>
            <w:r>
              <w:rPr>
                <w:b w:val="0"/>
                <w:sz w:val="18"/>
              </w:rPr>
              <w:t>Kept until you unsubscribe or for [INSERT RETENTION PERIOD], unless longer retention is needed to maintain suppression lists.</w:t>
            </w:r>
          </w:p>
        </w:tc>
      </w:tr>
      <w:tr>
        <w:trPr>
          <w:trHeight w:hRule="atLeast"/>
        </w:trPr>
        <w:tc>
          <w:tcPr>
            <w:tcW w:type="dxa" w:w="5112"/>
            <w:tcMar>
              <w:top w:w="80" w:type="dxa"/>
              <w:start w:w="80" w:type="dxa"/>
              <w:bottom w:w="80" w:type="dxa"/>
              <w:end w:w="80" w:type="dxa"/>
            </w:tcMar>
            <w:vAlign w:val="top"/>
          </w:tcPr>
          <w:p>
            <w:pPr>
              <w:spacing w:after="0"/>
            </w:pPr>
            <w:r/>
            <w:r>
              <w:rPr>
                <w:b w:val="0"/>
                <w:sz w:val="18"/>
              </w:rPr>
              <w:t>Waitlist data</w:t>
            </w:r>
          </w:p>
        </w:tc>
        <w:tc>
          <w:tcPr>
            <w:tcW w:type="dxa" w:w="5112"/>
            <w:tcMar>
              <w:top w:w="80" w:type="dxa"/>
              <w:start w:w="80" w:type="dxa"/>
              <w:bottom w:w="80" w:type="dxa"/>
              <w:end w:w="80" w:type="dxa"/>
            </w:tcMar>
            <w:vAlign w:val="top"/>
          </w:tcPr>
          <w:p>
            <w:pPr>
              <w:spacing w:after="0"/>
            </w:pPr>
            <w:r/>
            <w:r>
              <w:rPr>
                <w:b w:val="0"/>
                <w:sz w:val="18"/>
              </w:rPr>
              <w:t>Kept until [INSERT RETENTION PERIOD OR EVENT, SUCH AS PUBLIC LAUNCH + 30 DAYS].</w:t>
            </w:r>
          </w:p>
        </w:tc>
      </w:tr>
      <w:tr>
        <w:trPr>
          <w:trHeight w:hRule="atLeast"/>
        </w:trPr>
        <w:tc>
          <w:tcPr>
            <w:tcW w:type="dxa" w:w="5112"/>
            <w:tcMar>
              <w:top w:w="80" w:type="dxa"/>
              <w:start w:w="80" w:type="dxa"/>
              <w:bottom w:w="80" w:type="dxa"/>
              <w:end w:w="80" w:type="dxa"/>
            </w:tcMar>
            <w:vAlign w:val="top"/>
            <w:shd w:fill="F7F9FB"/>
          </w:tcPr>
          <w:p>
            <w:pPr>
              <w:spacing w:after="0"/>
            </w:pPr>
            <w:r/>
            <w:r>
              <w:rPr>
                <w:b w:val="0"/>
                <w:sz w:val="18"/>
              </w:rPr>
              <w:t>Backups</w:t>
            </w:r>
          </w:p>
        </w:tc>
        <w:tc>
          <w:tcPr>
            <w:tcW w:type="dxa" w:w="5112"/>
            <w:tcMar>
              <w:top w:w="80" w:type="dxa"/>
              <w:start w:w="80" w:type="dxa"/>
              <w:bottom w:w="80" w:type="dxa"/>
              <w:end w:w="80" w:type="dxa"/>
            </w:tcMar>
            <w:vAlign w:val="top"/>
            <w:shd w:fill="F7F9FB"/>
          </w:tcPr>
          <w:p>
            <w:pPr>
              <w:spacing w:after="0"/>
            </w:pPr>
            <w:r/>
            <w:r>
              <w:rPr>
                <w:b w:val="0"/>
                <w:sz w:val="18"/>
              </w:rPr>
              <w:t>May remain in encrypted backups for [INSERT BACKUP RETENTION PERIOD] until overwritten or securely deleted.</w:t>
            </w:r>
          </w:p>
        </w:tc>
      </w:tr>
      <w:tr>
        <w:trPr>
          <w:trHeight w:hRule="atLeast"/>
        </w:trPr>
        <w:tc>
          <w:tcPr>
            <w:tcW w:type="dxa" w:w="5112"/>
            <w:tcMar>
              <w:top w:w="80" w:type="dxa"/>
              <w:start w:w="80" w:type="dxa"/>
              <w:bottom w:w="80" w:type="dxa"/>
              <w:end w:w="80" w:type="dxa"/>
            </w:tcMar>
            <w:vAlign w:val="top"/>
          </w:tcPr>
          <w:p>
            <w:pPr>
              <w:spacing w:after="0"/>
            </w:pPr>
            <w:r/>
            <w:r>
              <w:rPr>
                <w:b w:val="0"/>
                <w:sz w:val="18"/>
              </w:rPr>
              <w:t>Legal and compliance records</w:t>
            </w:r>
          </w:p>
        </w:tc>
        <w:tc>
          <w:tcPr>
            <w:tcW w:type="dxa" w:w="5112"/>
            <w:tcMar>
              <w:top w:w="80" w:type="dxa"/>
              <w:start w:w="80" w:type="dxa"/>
              <w:bottom w:w="80" w:type="dxa"/>
              <w:end w:w="80" w:type="dxa"/>
            </w:tcMar>
            <w:vAlign w:val="top"/>
          </w:tcPr>
          <w:p>
            <w:pPr>
              <w:spacing w:after="0"/>
            </w:pPr>
            <w:r/>
            <w:r>
              <w:rPr>
                <w:b w:val="0"/>
                <w:sz w:val="18"/>
              </w:rPr>
              <w:t>Kept as required by applicable law or legal need.</w:t>
            </w:r>
          </w:p>
        </w:tc>
      </w:tr>
    </w:tbl>
    <w:p/>
    <w:p>
      <w:r>
        <w:rPr>
          <w:sz w:val="20"/>
        </w:rPr>
        <w:t>When we no longer need personal information, we may delete it, de-identify it, aggregate it, or restrict it from active use.</w:t>
      </w:r>
    </w:p>
    <w:p>
      <w:pPr>
        <w:pStyle w:val="Heading1"/>
      </w:pPr>
      <w:r>
        <w:t>14. Your Privacy Rights</w:t>
      </w:r>
    </w:p>
    <w:p>
      <w:r>
        <w:rPr>
          <w:sz w:val="20"/>
        </w:rPr>
        <w:t>Depending on where you live, you may have some or all of the following rights:</w:t>
      </w:r>
    </w:p>
    <w:p>
      <w:pPr>
        <w:pStyle w:val="ListBullet"/>
        <w:spacing w:after="40"/>
        <w:ind w:left="317" w:hanging="216"/>
      </w:pPr>
      <w:r>
        <w:rPr>
          <w:sz w:val="19"/>
        </w:rPr>
        <w:t>Access: Ask for a copy of personal information we hold about you.</w:t>
      </w:r>
    </w:p>
    <w:p>
      <w:pPr>
        <w:pStyle w:val="ListBullet"/>
        <w:spacing w:after="40"/>
        <w:ind w:left="317" w:hanging="216"/>
      </w:pPr>
      <w:r>
        <w:rPr>
          <w:sz w:val="19"/>
        </w:rPr>
        <w:t>Correction: Ask us to correct inaccurate or incomplete information.</w:t>
      </w:r>
    </w:p>
    <w:p>
      <w:pPr>
        <w:pStyle w:val="ListBullet"/>
        <w:spacing w:after="40"/>
        <w:ind w:left="317" w:hanging="216"/>
      </w:pPr>
      <w:r>
        <w:rPr>
          <w:sz w:val="19"/>
        </w:rPr>
        <w:t>Deletion: Ask us to delete personal information, subject to legal limits.</w:t>
      </w:r>
    </w:p>
    <w:p>
      <w:pPr>
        <w:pStyle w:val="ListBullet"/>
        <w:spacing w:after="40"/>
        <w:ind w:left="317" w:hanging="216"/>
      </w:pPr>
      <w:r>
        <w:rPr>
          <w:sz w:val="19"/>
        </w:rPr>
        <w:t>Portability: Ask for certain information in a portable format.</w:t>
      </w:r>
    </w:p>
    <w:p>
      <w:pPr>
        <w:pStyle w:val="ListBullet"/>
        <w:spacing w:after="40"/>
        <w:ind w:left="317" w:hanging="216"/>
      </w:pPr>
      <w:r>
        <w:rPr>
          <w:sz w:val="19"/>
        </w:rPr>
        <w:t>Restriction: Ask us to limit certain processing.</w:t>
      </w:r>
    </w:p>
    <w:p>
      <w:pPr>
        <w:pStyle w:val="ListBullet"/>
        <w:spacing w:after="40"/>
        <w:ind w:left="317" w:hanging="216"/>
      </w:pPr>
      <w:r>
        <w:rPr>
          <w:sz w:val="19"/>
        </w:rPr>
        <w:t>Objection: Object to certain processing based on legitimate interests or direct marketing.</w:t>
      </w:r>
    </w:p>
    <w:p>
      <w:pPr>
        <w:pStyle w:val="ListBullet"/>
        <w:spacing w:after="40"/>
        <w:ind w:left="317" w:hanging="216"/>
      </w:pPr>
      <w:r>
        <w:rPr>
          <w:sz w:val="19"/>
        </w:rPr>
        <w:t>Withdraw consent: Withdraw consent where processing is based on consent.</w:t>
      </w:r>
    </w:p>
    <w:p>
      <w:pPr>
        <w:pStyle w:val="ListBullet"/>
        <w:spacing w:after="40"/>
        <w:ind w:left="317" w:hanging="216"/>
      </w:pPr>
      <w:r>
        <w:rPr>
          <w:sz w:val="19"/>
        </w:rPr>
        <w:t>Opt out of marketing: Unsubscribe from marketing emails.</w:t>
      </w:r>
    </w:p>
    <w:p>
      <w:pPr>
        <w:pStyle w:val="ListBullet"/>
        <w:spacing w:after="40"/>
        <w:ind w:left="317" w:hanging="216"/>
      </w:pPr>
      <w:r>
        <w:rPr>
          <w:sz w:val="19"/>
        </w:rPr>
        <w:t>Opt out of sale or sharing: Where applicable under California or similar laws.</w:t>
      </w:r>
    </w:p>
    <w:p>
      <w:pPr>
        <w:pStyle w:val="ListBullet"/>
        <w:spacing w:after="40"/>
        <w:ind w:left="317" w:hanging="216"/>
      </w:pPr>
      <w:r>
        <w:rPr>
          <w:sz w:val="19"/>
        </w:rPr>
        <w:t>Limit sensitive personal information: Where applicable under California or similar laws.</w:t>
      </w:r>
    </w:p>
    <w:p>
      <w:pPr>
        <w:pStyle w:val="ListBullet"/>
        <w:spacing w:after="40"/>
        <w:ind w:left="317" w:hanging="216"/>
      </w:pPr>
      <w:r>
        <w:rPr>
          <w:sz w:val="19"/>
        </w:rPr>
        <w:t>Appeal: Appeal a denied privacy request where required by law.</w:t>
      </w:r>
    </w:p>
    <w:p>
      <w:pPr>
        <w:pStyle w:val="ListBullet"/>
        <w:spacing w:after="40"/>
        <w:ind w:left="317" w:hanging="216"/>
      </w:pPr>
      <w:r>
        <w:rPr>
          <w:sz w:val="19"/>
        </w:rPr>
        <w:t>Complaint: File a complaint with a privacy regulator or data protection authority.</w:t>
      </w:r>
    </w:p>
    <w:p>
      <w:r>
        <w:rPr>
          <w:sz w:val="20"/>
        </w:rPr>
        <w:t>To exercise a right, email us at privacy@yourdategenie.com.</w:t>
      </w:r>
    </w:p>
    <w:p>
      <w:r>
        <w:rPr>
          <w:sz w:val="20"/>
        </w:rPr>
        <w:t>We may need to verify your identity before responding. We will respond within the time required by applicable law.</w:t>
      </w:r>
    </w:p>
    <w:p>
      <w:r>
        <w:rPr>
          <w:sz w:val="20"/>
        </w:rPr>
        <w:t>If we cannot fulfill your request, we will explain why, unless legally prohibited.</w:t>
      </w:r>
    </w:p>
    <w:p>
      <w:pPr>
        <w:pStyle w:val="Heading1"/>
      </w:pPr>
      <w:r>
        <w:t>15. Authorized Agents</w:t>
      </w:r>
    </w:p>
    <w:p>
      <w:r>
        <w:rPr>
          <w:sz w:val="20"/>
        </w:rPr>
        <w:t>Where allowed by law, you may use an authorized agent to submit a privacy request for you. We may require proof that the agent is authorized to act on your behalf. We may also ask you to verify your identity directly with us.</w:t>
      </w:r>
    </w:p>
    <w:p>
      <w:pPr>
        <w:pStyle w:val="Heading1"/>
      </w:pPr>
      <w:r>
        <w:t>16. California Privacy Notice</w:t>
      </w:r>
    </w:p>
    <w:p>
      <w:r>
        <w:rPr>
          <w:sz w:val="20"/>
        </w:rPr>
        <w:t>This section applies to California residents and supplements the rest of this policy.</w:t>
      </w:r>
    </w:p>
    <w:p>
      <w:pPr>
        <w:pStyle w:val="Heading2"/>
      </w:pPr>
      <w:r>
        <w:t>16.1 Categories of Personal Information We May Collect</w:t>
      </w:r>
    </w:p>
    <w:p>
      <w:r>
        <w:rPr>
          <w:sz w:val="20"/>
        </w:rPr>
        <w:t>We may collect the following categories of personal information:</w:t>
      </w:r>
    </w:p>
    <w:p>
      <w:pPr>
        <w:pStyle w:val="ListBullet"/>
        <w:spacing w:after="40"/>
        <w:ind w:left="317" w:hanging="216"/>
      </w:pPr>
      <w:r>
        <w:rPr>
          <w:sz w:val="19"/>
        </w:rPr>
        <w:t>Identifiers, such as name, email address, account ID, IP address, and device identifiers</w:t>
      </w:r>
    </w:p>
    <w:p>
      <w:pPr>
        <w:pStyle w:val="ListBullet"/>
        <w:spacing w:after="40"/>
        <w:ind w:left="317" w:hanging="216"/>
      </w:pPr>
      <w:r>
        <w:rPr>
          <w:sz w:val="19"/>
        </w:rPr>
        <w:t>Customer records information, such as billing details and account information</w:t>
      </w:r>
    </w:p>
    <w:p>
      <w:pPr>
        <w:pStyle w:val="ListBullet"/>
        <w:spacing w:after="40"/>
        <w:ind w:left="317" w:hanging="216"/>
      </w:pPr>
      <w:r>
        <w:rPr>
          <w:sz w:val="19"/>
        </w:rPr>
        <w:t>Commercial information, such as purchases, subscription status, payment history, and refund history</w:t>
      </w:r>
    </w:p>
    <w:p>
      <w:pPr>
        <w:pStyle w:val="ListBullet"/>
        <w:spacing w:after="40"/>
        <w:ind w:left="317" w:hanging="216"/>
      </w:pPr>
      <w:r>
        <w:rPr>
          <w:sz w:val="19"/>
        </w:rPr>
        <w:t>Internet or network activity, such as app usage, website activity, logs, and interactions</w:t>
      </w:r>
    </w:p>
    <w:p>
      <w:pPr>
        <w:pStyle w:val="ListBullet"/>
        <w:spacing w:after="40"/>
        <w:ind w:left="317" w:hanging="216"/>
      </w:pPr>
      <w:r>
        <w:rPr>
          <w:sz w:val="19"/>
        </w:rPr>
        <w:t>Approximate geolocation, such as city, region, or IP-based location</w:t>
      </w:r>
    </w:p>
    <w:p>
      <w:pPr>
        <w:pStyle w:val="ListBullet"/>
        <w:spacing w:after="40"/>
        <w:ind w:left="317" w:hanging="216"/>
      </w:pPr>
      <w:r>
        <w:rPr>
          <w:sz w:val="19"/>
        </w:rPr>
        <w:t>Audio, electronic, visual, or similar information, if you provide photos, messages, or support content</w:t>
      </w:r>
    </w:p>
    <w:p>
      <w:pPr>
        <w:pStyle w:val="ListBullet"/>
        <w:spacing w:after="40"/>
        <w:ind w:left="317" w:hanging="216"/>
      </w:pPr>
      <w:r>
        <w:rPr>
          <w:sz w:val="19"/>
        </w:rPr>
        <w:t>Inferences, such as preferences based on your activity or selected settings</w:t>
      </w:r>
    </w:p>
    <w:p>
      <w:pPr>
        <w:pStyle w:val="ListBullet"/>
        <w:spacing w:after="40"/>
        <w:ind w:left="317" w:hanging="216"/>
      </w:pPr>
      <w:r>
        <w:rPr>
          <w:sz w:val="19"/>
        </w:rPr>
        <w:t>Sensitive personal information, such as account login credentials, payment information, and any sensitive content you choose to provide</w:t>
      </w:r>
    </w:p>
    <w:p>
      <w:pPr>
        <w:pStyle w:val="ListBullet"/>
        <w:spacing w:after="40"/>
        <w:ind w:left="317" w:hanging="216"/>
      </w:pPr>
      <w:r>
        <w:rPr>
          <w:sz w:val="19"/>
        </w:rPr>
        <w:t>User-generated content, such as prompts, photos, saved plans, notes, and messages</w:t>
      </w:r>
    </w:p>
    <w:p>
      <w:pPr>
        <w:pStyle w:val="Heading2"/>
      </w:pPr>
      <w:r>
        <w:t>16.2 Sources of Personal Information</w:t>
      </w:r>
    </w:p>
    <w:p>
      <w:r>
        <w:rPr>
          <w:b/>
          <w:sz w:val="20"/>
        </w:rPr>
        <w:t>We collect personal information from:</w:t>
      </w:r>
      <w:r>
        <w:rPr>
          <w:sz w:val="20"/>
        </w:rPr>
      </w:r>
    </w:p>
    <w:p>
      <w:pPr>
        <w:pStyle w:val="ListBullet"/>
        <w:spacing w:after="40"/>
        <w:ind w:left="317" w:hanging="216"/>
      </w:pPr>
      <w:r>
        <w:rPr>
          <w:sz w:val="19"/>
        </w:rPr>
        <w:t>You</w:t>
      </w:r>
    </w:p>
    <w:p>
      <w:pPr>
        <w:pStyle w:val="ListBullet"/>
        <w:spacing w:after="40"/>
        <w:ind w:left="317" w:hanging="216"/>
      </w:pPr>
      <w:r>
        <w:rPr>
          <w:sz w:val="19"/>
        </w:rPr>
        <w:t>Your device</w:t>
      </w:r>
    </w:p>
    <w:p>
      <w:pPr>
        <w:pStyle w:val="ListBullet"/>
        <w:spacing w:after="40"/>
        <w:ind w:left="317" w:hanging="216"/>
      </w:pPr>
      <w:r>
        <w:rPr>
          <w:sz w:val="19"/>
        </w:rPr>
        <w:t>Your use of the Service</w:t>
      </w:r>
    </w:p>
    <w:p>
      <w:pPr>
        <w:pStyle w:val="ListBullet"/>
        <w:spacing w:after="40"/>
        <w:ind w:left="317" w:hanging="216"/>
      </w:pPr>
      <w:r>
        <w:rPr>
          <w:sz w:val="19"/>
        </w:rPr>
        <w:t>Sign-in providers</w:t>
      </w:r>
    </w:p>
    <w:p>
      <w:pPr>
        <w:pStyle w:val="ListBullet"/>
        <w:spacing w:after="40"/>
        <w:ind w:left="317" w:hanging="216"/>
      </w:pPr>
      <w:r>
        <w:rPr>
          <w:sz w:val="19"/>
        </w:rPr>
        <w:t>Payment processors</w:t>
      </w:r>
    </w:p>
    <w:p>
      <w:pPr>
        <w:pStyle w:val="ListBullet"/>
        <w:spacing w:after="40"/>
        <w:ind w:left="317" w:hanging="216"/>
      </w:pPr>
      <w:r>
        <w:rPr>
          <w:sz w:val="19"/>
        </w:rPr>
        <w:t>Service providers</w:t>
      </w:r>
    </w:p>
    <w:p>
      <w:pPr>
        <w:pStyle w:val="ListBullet"/>
        <w:spacing w:after="40"/>
        <w:ind w:left="317" w:hanging="216"/>
      </w:pPr>
      <w:r>
        <w:rPr>
          <w:sz w:val="19"/>
        </w:rPr>
        <w:t>Business partners</w:t>
      </w:r>
    </w:p>
    <w:p>
      <w:pPr>
        <w:pStyle w:val="ListBullet"/>
        <w:spacing w:after="40"/>
        <w:ind w:left="317" w:hanging="216"/>
      </w:pPr>
      <w:r>
        <w:rPr>
          <w:sz w:val="19"/>
        </w:rPr>
        <w:t>Security and analytics tools</w:t>
      </w:r>
    </w:p>
    <w:p>
      <w:pPr>
        <w:pStyle w:val="ListBullet"/>
        <w:spacing w:after="40"/>
        <w:ind w:left="317" w:hanging="216"/>
      </w:pPr>
      <w:r>
        <w:rPr>
          <w:sz w:val="19"/>
        </w:rPr>
        <w:t>Public sources, where permitted</w:t>
      </w:r>
    </w:p>
    <w:p>
      <w:pPr>
        <w:pStyle w:val="Heading2"/>
      </w:pPr>
      <w:r>
        <w:t>16.3 Purposes for Collection, Use, and Disclosure</w:t>
      </w:r>
    </w:p>
    <w:p>
      <w:r>
        <w:rPr>
          <w:sz w:val="20"/>
        </w:rPr>
        <w:t>We collect, use, and disclose personal information for the purposes described in this policy, including:</w:t>
      </w:r>
    </w:p>
    <w:p>
      <w:pPr>
        <w:pStyle w:val="ListBullet"/>
        <w:spacing w:after="40"/>
        <w:ind w:left="317" w:hanging="216"/>
      </w:pPr>
      <w:r>
        <w:rPr>
          <w:sz w:val="19"/>
        </w:rPr>
        <w:t>Providing the Service</w:t>
      </w:r>
    </w:p>
    <w:p>
      <w:pPr>
        <w:pStyle w:val="ListBullet"/>
        <w:spacing w:after="40"/>
        <w:ind w:left="317" w:hanging="216"/>
      </w:pPr>
      <w:r>
        <w:rPr>
          <w:sz w:val="19"/>
        </w:rPr>
        <w:t>Personalization</w:t>
      </w:r>
    </w:p>
    <w:p>
      <w:pPr>
        <w:pStyle w:val="ListBullet"/>
        <w:spacing w:after="40"/>
        <w:ind w:left="317" w:hanging="216"/>
      </w:pPr>
      <w:r>
        <w:rPr>
          <w:sz w:val="19"/>
        </w:rPr>
        <w:t>AI features</w:t>
      </w:r>
    </w:p>
    <w:p>
      <w:pPr>
        <w:pStyle w:val="ListBullet"/>
        <w:spacing w:after="40"/>
        <w:ind w:left="317" w:hanging="216"/>
      </w:pPr>
      <w:r>
        <w:rPr>
          <w:sz w:val="19"/>
        </w:rPr>
        <w:t>Payments</w:t>
      </w:r>
    </w:p>
    <w:p>
      <w:pPr>
        <w:pStyle w:val="ListBullet"/>
        <w:spacing w:after="40"/>
        <w:ind w:left="317" w:hanging="216"/>
      </w:pPr>
      <w:r>
        <w:rPr>
          <w:sz w:val="19"/>
        </w:rPr>
        <w:t>Account management</w:t>
      </w:r>
    </w:p>
    <w:p>
      <w:pPr>
        <w:pStyle w:val="ListBullet"/>
        <w:spacing w:after="40"/>
        <w:ind w:left="317" w:hanging="216"/>
      </w:pPr>
      <w:r>
        <w:rPr>
          <w:sz w:val="19"/>
        </w:rPr>
        <w:t>Security</w:t>
      </w:r>
    </w:p>
    <w:p>
      <w:pPr>
        <w:pStyle w:val="ListBullet"/>
        <w:spacing w:after="40"/>
        <w:ind w:left="317" w:hanging="216"/>
      </w:pPr>
      <w:r>
        <w:rPr>
          <w:sz w:val="19"/>
        </w:rPr>
        <w:t>Fraud prevention</w:t>
      </w:r>
    </w:p>
    <w:p>
      <w:pPr>
        <w:pStyle w:val="ListBullet"/>
        <w:spacing w:after="40"/>
        <w:ind w:left="317" w:hanging="216"/>
      </w:pPr>
      <w:r>
        <w:rPr>
          <w:sz w:val="19"/>
        </w:rPr>
        <w:t>Customer support</w:t>
      </w:r>
    </w:p>
    <w:p>
      <w:pPr>
        <w:pStyle w:val="ListBullet"/>
        <w:spacing w:after="40"/>
        <w:ind w:left="317" w:hanging="216"/>
      </w:pPr>
      <w:r>
        <w:rPr>
          <w:sz w:val="19"/>
        </w:rPr>
        <w:t>Analytics</w:t>
      </w:r>
    </w:p>
    <w:p>
      <w:pPr>
        <w:pStyle w:val="ListBullet"/>
        <w:spacing w:after="40"/>
        <w:ind w:left="317" w:hanging="216"/>
      </w:pPr>
      <w:r>
        <w:rPr>
          <w:sz w:val="19"/>
        </w:rPr>
        <w:t>Service improvement</w:t>
      </w:r>
    </w:p>
    <w:p>
      <w:pPr>
        <w:pStyle w:val="ListBullet"/>
        <w:spacing w:after="40"/>
        <w:ind w:left="317" w:hanging="216"/>
      </w:pPr>
      <w:r>
        <w:rPr>
          <w:sz w:val="19"/>
        </w:rPr>
        <w:t>Legal compliance</w:t>
      </w:r>
    </w:p>
    <w:p>
      <w:pPr>
        <w:pStyle w:val="ListBullet"/>
        <w:spacing w:after="40"/>
        <w:ind w:left="317" w:hanging="216"/>
      </w:pPr>
      <w:r>
        <w:rPr>
          <w:sz w:val="19"/>
        </w:rPr>
        <w:t>Business operations</w:t>
      </w:r>
    </w:p>
    <w:p>
      <w:pPr>
        <w:pStyle w:val="ListBullet"/>
        <w:spacing w:after="40"/>
        <w:ind w:left="317" w:hanging="216"/>
      </w:pPr>
      <w:r>
        <w:rPr>
          <w:sz w:val="19"/>
        </w:rPr>
        <w:t>Marketing, where permitted</w:t>
      </w:r>
    </w:p>
    <w:p>
      <w:pPr>
        <w:pStyle w:val="Heading2"/>
      </w:pPr>
      <w:r>
        <w:t>16.4 Categories of Personal Information Disclosed</w:t>
      </w:r>
    </w:p>
    <w:p>
      <w:r>
        <w:rPr>
          <w:sz w:val="20"/>
        </w:rPr>
        <w:t>We may disclose the categories of personal information listed above to:</w:t>
      </w:r>
    </w:p>
    <w:p>
      <w:pPr>
        <w:pStyle w:val="ListBullet"/>
        <w:spacing w:after="40"/>
        <w:ind w:left="317" w:hanging="216"/>
      </w:pPr>
      <w:r>
        <w:rPr>
          <w:sz w:val="19"/>
        </w:rPr>
        <w:t>Service providers</w:t>
      </w:r>
    </w:p>
    <w:p>
      <w:pPr>
        <w:pStyle w:val="ListBullet"/>
        <w:spacing w:after="40"/>
        <w:ind w:left="317" w:hanging="216"/>
      </w:pPr>
      <w:r>
        <w:rPr>
          <w:sz w:val="19"/>
        </w:rPr>
        <w:t>Payment processors</w:t>
      </w:r>
    </w:p>
    <w:p>
      <w:pPr>
        <w:pStyle w:val="ListBullet"/>
        <w:spacing w:after="40"/>
        <w:ind w:left="317" w:hanging="216"/>
      </w:pPr>
      <w:r>
        <w:rPr>
          <w:sz w:val="19"/>
        </w:rPr>
        <w:t>Cloud hosting providers</w:t>
      </w:r>
    </w:p>
    <w:p>
      <w:pPr>
        <w:pStyle w:val="ListBullet"/>
        <w:spacing w:after="40"/>
        <w:ind w:left="317" w:hanging="216"/>
      </w:pPr>
      <w:r>
        <w:rPr>
          <w:sz w:val="19"/>
        </w:rPr>
        <w:t>AI providers</w:t>
      </w:r>
    </w:p>
    <w:p>
      <w:pPr>
        <w:pStyle w:val="ListBullet"/>
        <w:spacing w:after="40"/>
        <w:ind w:left="317" w:hanging="216"/>
      </w:pPr>
      <w:r>
        <w:rPr>
          <w:sz w:val="19"/>
        </w:rPr>
        <w:t>Authentication providers</w:t>
      </w:r>
    </w:p>
    <w:p>
      <w:pPr>
        <w:pStyle w:val="ListBullet"/>
        <w:spacing w:after="40"/>
        <w:ind w:left="317" w:hanging="216"/>
      </w:pPr>
      <w:r>
        <w:rPr>
          <w:sz w:val="19"/>
        </w:rPr>
        <w:t>Analytics providers</w:t>
      </w:r>
    </w:p>
    <w:p>
      <w:pPr>
        <w:pStyle w:val="ListBullet"/>
        <w:spacing w:after="40"/>
        <w:ind w:left="317" w:hanging="216"/>
      </w:pPr>
      <w:r>
        <w:rPr>
          <w:sz w:val="19"/>
        </w:rPr>
        <w:t>Email providers</w:t>
      </w:r>
    </w:p>
    <w:p>
      <w:pPr>
        <w:pStyle w:val="ListBullet"/>
        <w:spacing w:after="40"/>
        <w:ind w:left="317" w:hanging="216"/>
      </w:pPr>
      <w:r>
        <w:rPr>
          <w:sz w:val="19"/>
        </w:rPr>
        <w:t>Security providers</w:t>
      </w:r>
    </w:p>
    <w:p>
      <w:pPr>
        <w:pStyle w:val="ListBullet"/>
        <w:spacing w:after="40"/>
        <w:ind w:left="317" w:hanging="216"/>
      </w:pPr>
      <w:r>
        <w:rPr>
          <w:sz w:val="19"/>
        </w:rPr>
        <w:t>Customer support providers</w:t>
      </w:r>
    </w:p>
    <w:p>
      <w:pPr>
        <w:pStyle w:val="ListBullet"/>
        <w:spacing w:after="40"/>
        <w:ind w:left="317" w:hanging="216"/>
      </w:pPr>
      <w:r>
        <w:rPr>
          <w:sz w:val="19"/>
        </w:rPr>
        <w:t>Legal and compliance advisors</w:t>
      </w:r>
    </w:p>
    <w:p>
      <w:pPr>
        <w:pStyle w:val="ListBullet"/>
        <w:spacing w:after="40"/>
        <w:ind w:left="317" w:hanging="216"/>
      </w:pPr>
      <w:r>
        <w:rPr>
          <w:sz w:val="19"/>
        </w:rPr>
        <w:t>Government or legal authorities where required</w:t>
      </w:r>
    </w:p>
    <w:p>
      <w:pPr>
        <w:pStyle w:val="ListBullet"/>
        <w:spacing w:after="40"/>
        <w:ind w:left="317" w:hanging="216"/>
      </w:pPr>
      <w:r>
        <w:rPr>
          <w:sz w:val="19"/>
        </w:rPr>
        <w:t>Successors in a business transfer</w:t>
      </w:r>
    </w:p>
    <w:p>
      <w:pPr>
        <w:pStyle w:val="Heading2"/>
      </w:pPr>
      <w:r>
        <w:t>16.5 Sale or Sharing</w:t>
      </w:r>
    </w:p>
    <w:p>
      <w:r>
        <w:rPr>
          <w:sz w:val="20"/>
        </w:rPr>
        <w:t>We do not sell personal information for money.</w:t>
      </w:r>
    </w:p>
    <w:p>
      <w:r>
        <w:rPr>
          <w:sz w:val="20"/>
        </w:rPr>
        <w:t>We do not share personal information with data brokers.</w:t>
      </w:r>
    </w:p>
    <w:p>
      <w:r>
        <w:rPr>
          <w:sz w:val="20"/>
        </w:rPr>
        <w:t>If we engage in activity considered a "sale" or "sharing" under California law, such as cross-context behavioral advertising, we will provide a clear opt-out method.</w:t>
      </w:r>
    </w:p>
    <w:p>
      <w:r>
        <w:rPr>
          <w:sz w:val="20"/>
        </w:rPr>
        <w:t>California "Do Not Sell or Share My Personal Information" link: Not applicable. We do not sell or share personal information for money or with data brokers as those terms are defined under the CCPA/CPRA.</w:t>
      </w:r>
    </w:p>
    <w:p>
      <w:pPr>
        <w:pStyle w:val="Heading2"/>
      </w:pPr>
      <w:r>
        <w:t>16.6 Sensitive Personal Information</w:t>
      </w:r>
    </w:p>
    <w:p>
      <w:r>
        <w:rPr>
          <w:sz w:val="20"/>
        </w:rPr>
        <w:t>We do not use sensitive personal information to infer characteristics about you unless permitted by law or with your consent.</w:t>
      </w:r>
    </w:p>
    <w:p>
      <w:r>
        <w:rPr>
          <w:sz w:val="20"/>
        </w:rPr>
        <w:t>If we use sensitive personal information in a way that gives you the right to limit that use, we will provide a method to exercise that right.</w:t>
      </w:r>
    </w:p>
    <w:p>
      <w:r>
        <w:rPr>
          <w:sz w:val="20"/>
        </w:rPr>
        <w:t>Limit the Use of My Sensitive Personal Information link: Not applicable.</w:t>
      </w:r>
    </w:p>
    <w:p>
      <w:pPr>
        <w:pStyle w:val="Heading2"/>
      </w:pPr>
      <w:r>
        <w:t>16.7 California Rights</w:t>
      </w:r>
    </w:p>
    <w:p>
      <w:r>
        <w:rPr>
          <w:b/>
          <w:sz w:val="20"/>
        </w:rPr>
        <w:t>California residents may request:</w:t>
      </w:r>
      <w:r>
        <w:rPr>
          <w:sz w:val="20"/>
        </w:rPr>
      </w:r>
    </w:p>
    <w:p>
      <w:pPr>
        <w:pStyle w:val="ListBullet"/>
        <w:spacing w:after="40"/>
        <w:ind w:left="317" w:hanging="216"/>
      </w:pPr>
      <w:r>
        <w:rPr>
          <w:sz w:val="19"/>
        </w:rPr>
        <w:t>Access to personal information</w:t>
      </w:r>
    </w:p>
    <w:p>
      <w:pPr>
        <w:pStyle w:val="ListBullet"/>
        <w:spacing w:after="40"/>
        <w:ind w:left="317" w:hanging="216"/>
      </w:pPr>
      <w:r>
        <w:rPr>
          <w:sz w:val="19"/>
        </w:rPr>
        <w:t>A copy of personal information</w:t>
      </w:r>
    </w:p>
    <w:p>
      <w:pPr>
        <w:pStyle w:val="ListBullet"/>
        <w:spacing w:after="40"/>
        <w:ind w:left="317" w:hanging="216"/>
      </w:pPr>
      <w:r>
        <w:rPr>
          <w:sz w:val="19"/>
        </w:rPr>
        <w:t>Correction of inaccurate information</w:t>
      </w:r>
    </w:p>
    <w:p>
      <w:pPr>
        <w:pStyle w:val="ListBullet"/>
        <w:spacing w:after="40"/>
        <w:ind w:left="317" w:hanging="216"/>
      </w:pPr>
      <w:r>
        <w:rPr>
          <w:sz w:val="19"/>
        </w:rPr>
        <w:t>Deletion of personal information</w:t>
      </w:r>
    </w:p>
    <w:p>
      <w:pPr>
        <w:pStyle w:val="ListBullet"/>
        <w:spacing w:after="40"/>
        <w:ind w:left="317" w:hanging="216"/>
      </w:pPr>
      <w:r>
        <w:rPr>
          <w:sz w:val="19"/>
        </w:rPr>
        <w:t>Information about categories collected, disclosed, sold, or shared</w:t>
      </w:r>
    </w:p>
    <w:p>
      <w:pPr>
        <w:pStyle w:val="ListBullet"/>
        <w:spacing w:after="40"/>
        <w:ind w:left="317" w:hanging="216"/>
      </w:pPr>
      <w:r>
        <w:rPr>
          <w:sz w:val="19"/>
        </w:rPr>
        <w:t>Opt-out of sale or sharing, where applicable</w:t>
      </w:r>
    </w:p>
    <w:p>
      <w:pPr>
        <w:pStyle w:val="ListBullet"/>
        <w:spacing w:after="40"/>
        <w:ind w:left="317" w:hanging="216"/>
      </w:pPr>
      <w:r>
        <w:rPr>
          <w:sz w:val="19"/>
        </w:rPr>
        <w:t>Limitation of sensitive personal information, where applicable</w:t>
      </w:r>
    </w:p>
    <w:p>
      <w:pPr>
        <w:pStyle w:val="ListBullet"/>
        <w:spacing w:after="40"/>
        <w:ind w:left="317" w:hanging="216"/>
      </w:pPr>
      <w:r>
        <w:rPr>
          <w:sz w:val="19"/>
        </w:rPr>
        <w:t>Non-discrimination for exercising privacy rights</w:t>
      </w:r>
    </w:p>
    <w:p>
      <w:r>
        <w:rPr>
          <w:sz w:val="20"/>
        </w:rPr>
        <w:t>We will not discriminate against you for exercising your privacy rights.</w:t>
      </w:r>
    </w:p>
    <w:p>
      <w:pPr>
        <w:pStyle w:val="Heading1"/>
      </w:pPr>
      <w:r>
        <w:t>17. Other U.S. State Privacy Rights</w:t>
      </w:r>
    </w:p>
    <w:p>
      <w:r>
        <w:rPr>
          <w:sz w:val="20"/>
        </w:rPr>
        <w:t>Residents of certain U.S. states may have rights to access, correct, delete, obtain a copy of personal information, opt out of targeted advertising, opt out of sale, opt out of certain profiling, and appeal a denied request.</w:t>
      </w:r>
    </w:p>
    <w:p>
      <w:r>
        <w:rPr>
          <w:sz w:val="20"/>
        </w:rPr>
        <w:t>Where these rights apply, you may exercise them by contacting privacy@yourdategenie.com.</w:t>
      </w:r>
    </w:p>
    <w:p>
      <w:r>
        <w:rPr>
          <w:b/>
          <w:sz w:val="20"/>
        </w:rPr>
        <w:t>State privacy appeal contact:</w:t>
      </w:r>
      <w:r>
        <w:rPr>
          <w:sz w:val="20"/>
        </w:rPr>
        <w:t xml:space="preserve"> privacy@yourdategenie.com</w:t>
      </w:r>
    </w:p>
    <w:p>
      <w:pPr>
        <w:pStyle w:val="Heading1"/>
      </w:pPr>
      <w:r>
        <w:t>18. European Economic Area, United Kingdom, and Switzerland</w:t>
      </w:r>
    </w:p>
    <w:p>
      <w:r>
        <w:rPr>
          <w:sz w:val="20"/>
        </w:rPr>
        <w:t>If you are in the EEA, UK, or Switzerland, you may have rights under applicable data protection laws, including the rights to access, correction, deletion, portability, restriction, objection, and withdrawal of consent.</w:t>
      </w:r>
    </w:p>
    <w:p>
      <w:r>
        <w:rPr>
          <w:sz w:val="20"/>
        </w:rPr>
        <w:t>You also have the right to lodge a complaint with your local data protection authority. We ask that you contact us first so we can try to address your concern.</w:t>
      </w:r>
    </w:p>
    <w:p>
      <w:r>
        <w:rPr>
          <w:sz w:val="20"/>
        </w:rPr>
        <w:t>Where required, we will identify the lawful basis for processing and provide additional information upon request.</w:t>
      </w:r>
    </w:p>
    <w:p>
      <w:pPr>
        <w:pStyle w:val="Heading1"/>
      </w:pPr>
      <w:r>
        <w:t>19. Canada Privacy Rights</w:t>
      </w:r>
    </w:p>
    <w:p>
      <w:r>
        <w:rPr>
          <w:sz w:val="20"/>
        </w:rPr>
        <w:t>If you are in Canada, you may have rights under PIPEDA or similar provincial privacy laws. These may include the right to access your personal information, challenge the accuracy of your information, withdraw consent subject to legal or contractual limits, and ask questions about our privacy practices.</w:t>
      </w:r>
    </w:p>
    <w:p>
      <w:r>
        <w:rPr>
          <w:sz w:val="20"/>
        </w:rPr>
        <w:t>To make a request, contact privacy@yourdategenie.com.</w:t>
      </w:r>
    </w:p>
    <w:p>
      <w:pPr>
        <w:pStyle w:val="Heading1"/>
      </w:pPr>
      <w:r>
        <w:t>20. Brazil Privacy Rights</w:t>
      </w:r>
    </w:p>
    <w:p>
      <w:r>
        <w:rPr>
          <w:sz w:val="20"/>
        </w:rPr>
        <w:t>If you are in Brazil, you may have rights under the LGPD, including the right to confirm processing, access personal data, correct incomplete or outdated data, request anonymization, blocking or deletion, request portability, receive information about sharing, withdraw consent, and request review of certain decisions where applicable.</w:t>
      </w:r>
    </w:p>
    <w:p>
      <w:r>
        <w:rPr>
          <w:sz w:val="20"/>
        </w:rPr>
        <w:t>To make a request, contact privacy@yourdategenie.com.</w:t>
      </w:r>
    </w:p>
    <w:p>
      <w:r>
        <w:rPr>
          <w:b/>
          <w:sz w:val="20"/>
        </w:rPr>
        <w:t>Brazil LGPD contact / Encarregado:</w:t>
      </w:r>
      <w:r>
        <w:rPr>
          <w:sz w:val="20"/>
        </w:rPr>
        <w:t xml:space="preserve"> privacy@yourdategenie.com</w:t>
      </w:r>
    </w:p>
    <w:p>
      <w:pPr>
        <w:pStyle w:val="Heading1"/>
      </w:pPr>
      <w:r>
        <w:t>21. Singapore and Thailand Privacy Rights</w:t>
      </w:r>
    </w:p>
    <w:p>
      <w:r>
        <w:rPr>
          <w:sz w:val="20"/>
        </w:rPr>
        <w:t>If you are in Singapore, Thailand, or another jurisdiction with similar privacy laws, you may have rights to access, correct, withdraw consent, and request information about how your personal data is used or disclosed, subject to legal limits.</w:t>
      </w:r>
    </w:p>
    <w:p>
      <w:r>
        <w:rPr>
          <w:sz w:val="20"/>
        </w:rPr>
        <w:t>To make a request, contact privacy@yourdategenie.com.</w:t>
      </w:r>
    </w:p>
    <w:p>
      <w:pPr>
        <w:pStyle w:val="Heading1"/>
      </w:pPr>
      <w:r>
        <w:t>22. South Africa Privacy Rights</w:t>
      </w:r>
    </w:p>
    <w:p>
      <w:r>
        <w:rPr>
          <w:sz w:val="20"/>
        </w:rPr>
        <w:t>If you are in South Africa, you may have rights under POPIA, including the right to access personal information, request correction or deletion, object to certain processing, and lodge a complaint with the Information Regulator.</w:t>
      </w:r>
    </w:p>
    <w:p>
      <w:r>
        <w:rPr>
          <w:sz w:val="20"/>
        </w:rPr>
        <w:t>To make a request, contact privacy@yourdategenie.com.</w:t>
      </w:r>
    </w:p>
    <w:p>
      <w:pPr>
        <w:pStyle w:val="Heading1"/>
      </w:pPr>
      <w:r>
        <w:t>23. International Data Transfers</w:t>
      </w:r>
    </w:p>
    <w:p>
      <w:r>
        <w:rPr>
          <w:sz w:val="20"/>
        </w:rPr>
        <w:t>Your Date Genie is based in the United States. If you use the Service from outside the United States, your information may be transferred to, stored in, or processed in the United States or other countries where we or our service providers operate.</w:t>
      </w:r>
    </w:p>
    <w:p>
      <w:r>
        <w:rPr>
          <w:sz w:val="20"/>
        </w:rPr>
        <w:t>These countries may have privacy laws that differ from the laws in your country.</w:t>
      </w:r>
    </w:p>
    <w:p>
      <w:r>
        <w:rPr>
          <w:sz w:val="20"/>
        </w:rPr>
        <w:t>Where required, we use lawful transfer mechanisms, such as:</w:t>
      </w:r>
    </w:p>
    <w:p>
      <w:pPr>
        <w:pStyle w:val="ListBullet"/>
        <w:spacing w:after="40"/>
        <w:ind w:left="317" w:hanging="216"/>
      </w:pPr>
      <w:r>
        <w:rPr>
          <w:sz w:val="19"/>
        </w:rPr>
        <w:t>Adequacy decisions</w:t>
      </w:r>
    </w:p>
    <w:p>
      <w:pPr>
        <w:pStyle w:val="ListBullet"/>
        <w:spacing w:after="40"/>
        <w:ind w:left="317" w:hanging="216"/>
      </w:pPr>
      <w:r>
        <w:rPr>
          <w:sz w:val="19"/>
        </w:rPr>
        <w:t>Standard Contractual Clauses</w:t>
      </w:r>
    </w:p>
    <w:p>
      <w:pPr>
        <w:pStyle w:val="ListBullet"/>
        <w:spacing w:after="40"/>
        <w:ind w:left="317" w:hanging="216"/>
      </w:pPr>
      <w:r>
        <w:rPr>
          <w:sz w:val="19"/>
        </w:rPr>
        <w:t>UK International Data Transfer Addendum</w:t>
      </w:r>
    </w:p>
    <w:p>
      <w:pPr>
        <w:pStyle w:val="ListBullet"/>
        <w:spacing w:after="40"/>
        <w:ind w:left="317" w:hanging="216"/>
      </w:pPr>
      <w:r>
        <w:rPr>
          <w:sz w:val="19"/>
        </w:rPr>
        <w:t>Data processing agreements</w:t>
      </w:r>
    </w:p>
    <w:p>
      <w:pPr>
        <w:pStyle w:val="ListBullet"/>
        <w:spacing w:after="40"/>
        <w:ind w:left="317" w:hanging="216"/>
      </w:pPr>
      <w:r>
        <w:rPr>
          <w:sz w:val="19"/>
        </w:rPr>
        <w:t>EU-U.S. Data Privacy Framework where applicable</w:t>
      </w:r>
    </w:p>
    <w:p>
      <w:pPr>
        <w:pStyle w:val="ListBullet"/>
        <w:spacing w:after="40"/>
        <w:ind w:left="317" w:hanging="216"/>
      </w:pPr>
      <w:r>
        <w:rPr>
          <w:sz w:val="19"/>
        </w:rPr>
        <w:t>Other lawful transfer methods</w:t>
      </w:r>
    </w:p>
    <w:p>
      <w:r>
        <w:rPr>
          <w:b/>
          <w:sz w:val="20"/>
        </w:rPr>
        <w:t>Transfer mechanism details:</w:t>
      </w:r>
      <w:r>
        <w:rPr>
          <w:sz w:val="20"/>
        </w:rPr>
        <w:t xml:space="preserve"> Where required, we rely on appropriate safeguards such as the European Commission Standard Contractual Clauses, the UK International Data Transfer Agreement or Addendum, and adequacy decisions, depending on the data importer and destination. Details are available on request at privacy@yourdategenie.com.</w:t>
      </w:r>
    </w:p>
    <w:p>
      <w:pPr>
        <w:pStyle w:val="Heading1"/>
      </w:pPr>
      <w:r>
        <w:t>24. Cookies and Similar Technologies</w:t>
      </w:r>
    </w:p>
    <w:p>
      <w:r>
        <w:rPr>
          <w:sz w:val="20"/>
        </w:rPr>
        <w:t>Our website may use cookies, pixels, local storage, SDKs, and similar technologies. The mobile app may use device-based storage or SDKs for similar operational purposes.</w:t>
      </w:r>
    </w:p>
    <w:p>
      <w:r>
        <w:rPr>
          <w:b/>
          <w:sz w:val="20"/>
        </w:rPr>
        <w:t>We may use these technologies to:</w:t>
      </w:r>
      <w:r>
        <w:rPr>
          <w:sz w:val="20"/>
        </w:rPr>
      </w:r>
    </w:p>
    <w:p>
      <w:pPr>
        <w:pStyle w:val="ListBullet"/>
        <w:spacing w:after="40"/>
        <w:ind w:left="317" w:hanging="216"/>
      </w:pPr>
      <w:r>
        <w:rPr>
          <w:sz w:val="19"/>
        </w:rPr>
        <w:t>Keep the Service working</w:t>
      </w:r>
    </w:p>
    <w:p>
      <w:pPr>
        <w:pStyle w:val="ListBullet"/>
        <w:spacing w:after="40"/>
        <w:ind w:left="317" w:hanging="216"/>
      </w:pPr>
      <w:r>
        <w:rPr>
          <w:sz w:val="19"/>
        </w:rPr>
        <w:t>Remember preferences</w:t>
      </w:r>
    </w:p>
    <w:p>
      <w:pPr>
        <w:pStyle w:val="ListBullet"/>
        <w:spacing w:after="40"/>
        <w:ind w:left="317" w:hanging="216"/>
      </w:pPr>
      <w:r>
        <w:rPr>
          <w:sz w:val="19"/>
        </w:rPr>
        <w:t>Maintain sessions</w:t>
      </w:r>
    </w:p>
    <w:p>
      <w:pPr>
        <w:pStyle w:val="ListBullet"/>
        <w:spacing w:after="40"/>
        <w:ind w:left="317" w:hanging="216"/>
      </w:pPr>
      <w:r>
        <w:rPr>
          <w:sz w:val="19"/>
        </w:rPr>
        <w:t>Measure performance</w:t>
      </w:r>
    </w:p>
    <w:p>
      <w:pPr>
        <w:pStyle w:val="ListBullet"/>
        <w:spacing w:after="40"/>
        <w:ind w:left="317" w:hanging="216"/>
      </w:pPr>
      <w:r>
        <w:rPr>
          <w:sz w:val="19"/>
        </w:rPr>
        <w:t>Understand usage</w:t>
      </w:r>
    </w:p>
    <w:p>
      <w:pPr>
        <w:pStyle w:val="ListBullet"/>
        <w:spacing w:after="40"/>
        <w:ind w:left="317" w:hanging="216"/>
      </w:pPr>
      <w:r>
        <w:rPr>
          <w:sz w:val="19"/>
        </w:rPr>
        <w:t>Improve the Service</w:t>
      </w:r>
    </w:p>
    <w:p>
      <w:pPr>
        <w:pStyle w:val="ListBullet"/>
        <w:spacing w:after="40"/>
        <w:ind w:left="317" w:hanging="216"/>
      </w:pPr>
      <w:r>
        <w:rPr>
          <w:sz w:val="19"/>
        </w:rPr>
        <w:t>Detect fraud or abuse</w:t>
      </w:r>
    </w:p>
    <w:p>
      <w:pPr>
        <w:pStyle w:val="ListBullet"/>
        <w:spacing w:after="40"/>
        <w:ind w:left="317" w:hanging="216"/>
      </w:pPr>
      <w:r>
        <w:rPr>
          <w:sz w:val="19"/>
        </w:rPr>
        <w:t>Secure accounts</w:t>
      </w:r>
    </w:p>
    <w:p>
      <w:pPr>
        <w:pStyle w:val="ListBullet"/>
        <w:spacing w:after="40"/>
        <w:ind w:left="317" w:hanging="216"/>
      </w:pPr>
      <w:r>
        <w:rPr>
          <w:sz w:val="19"/>
        </w:rPr>
        <w:t>Support marketing, where permitted</w:t>
      </w:r>
    </w:p>
    <w:p>
      <w:r>
        <w:rPr>
          <w:sz w:val="20"/>
        </w:rPr>
        <w:t>We do not use cookies to collect payment card numbers.</w:t>
      </w:r>
    </w:p>
    <w:p>
      <w:r>
        <w:rPr>
          <w:sz w:val="20"/>
        </w:rPr>
        <w:t>You can manage cookies through your browser settings. Where required by law, we provide consent choices.</w:t>
      </w:r>
    </w:p>
    <w:p>
      <w:pPr>
        <w:pStyle w:val="Heading2"/>
      </w:pPr>
      <w:r>
        <w:t>24.1 Types of Cookies We May Use</w:t>
      </w:r>
    </w:p>
    <w:p>
      <w:r>
        <w:rPr>
          <w:b/>
          <w:sz w:val="20"/>
        </w:rPr>
        <w:t>Strictly necessary cookies:</w:t>
      </w:r>
      <w:r>
        <w:rPr>
          <w:sz w:val="20"/>
        </w:rPr>
        <w:t xml:space="preserve"> Needed to operate the website and Service.</w:t>
      </w:r>
    </w:p>
    <w:p>
      <w:r>
        <w:rPr>
          <w:b/>
          <w:sz w:val="20"/>
        </w:rPr>
        <w:t>Functional cookies:</w:t>
      </w:r>
      <w:r>
        <w:rPr>
          <w:sz w:val="20"/>
        </w:rPr>
        <w:t xml:space="preserve"> Remember settings and preferences.</w:t>
      </w:r>
    </w:p>
    <w:p>
      <w:r>
        <w:rPr>
          <w:b/>
          <w:sz w:val="20"/>
        </w:rPr>
        <w:t>Analytics cookies:</w:t>
      </w:r>
      <w:r>
        <w:rPr>
          <w:sz w:val="20"/>
        </w:rPr>
        <w:t xml:space="preserve"> Help us understand how the website and Service are used.</w:t>
      </w:r>
    </w:p>
    <w:p>
      <w:r>
        <w:rPr>
          <w:b/>
          <w:sz w:val="20"/>
        </w:rPr>
        <w:t>Security cookies:</w:t>
      </w:r>
      <w:r>
        <w:rPr>
          <w:sz w:val="20"/>
        </w:rPr>
        <w:t xml:space="preserve"> Help detect fraud, abuse, and unauthorized access.</w:t>
      </w:r>
    </w:p>
    <w:p>
      <w:r>
        <w:rPr>
          <w:b/>
          <w:sz w:val="20"/>
        </w:rPr>
        <w:t>Marketing cookies:</w:t>
      </w:r>
      <w:r>
        <w:rPr>
          <w:sz w:val="20"/>
        </w:rPr>
        <w:t xml:space="preserve"> Used only where permitted and with choices where required.</w:t>
      </w:r>
    </w:p>
    <w:p>
      <w:r>
        <w:rPr>
          <w:b/>
          <w:sz w:val="20"/>
        </w:rPr>
        <w:t>Cookie preference center:</w:t>
      </w:r>
      <w:r>
        <w:rPr>
          <w:sz w:val="20"/>
        </w:rPr>
        <w:t xml:space="preserve"> Not currently applicable</w:t>
      </w:r>
    </w:p>
    <w:p>
      <w:pPr>
        <w:pStyle w:val="Heading1"/>
      </w:pPr>
      <w:r>
        <w:t>25. Marketing Choices</w:t>
      </w:r>
    </w:p>
    <w:p>
      <w:r>
        <w:rPr>
          <w:sz w:val="20"/>
        </w:rPr>
        <w:t>If you receive marketing emails from us, you can opt out by using the unsubscribe link in the email or by contacting privacy@yourdategenie.com.</w:t>
      </w:r>
    </w:p>
    <w:p>
      <w:r>
        <w:rPr>
          <w:sz w:val="20"/>
        </w:rPr>
        <w:t>Even if you opt out of marketing, we may still send service, security, account, billing, legal, and transactional notices.</w:t>
      </w:r>
    </w:p>
    <w:p>
      <w:pPr>
        <w:pStyle w:val="Heading1"/>
      </w:pPr>
      <w:r>
        <w:t>26. Do Not Track and Global Privacy Control</w:t>
      </w:r>
    </w:p>
    <w:p>
      <w:r>
        <w:rPr>
          <w:sz w:val="20"/>
        </w:rPr>
        <w:t>Some browsers send "Do Not Track" signals. Because there is no uniform industry standard for these signals, we may not respond to all Do Not Track signals.</w:t>
      </w:r>
    </w:p>
    <w:p>
      <w:r>
        <w:rPr>
          <w:sz w:val="20"/>
        </w:rPr>
        <w:t>Where legally required, we will honor recognized opt-out preference signals, such as Global Privacy Control, for applicable activities.</w:t>
      </w:r>
    </w:p>
    <w:p>
      <w:pPr>
        <w:pStyle w:val="Heading1"/>
      </w:pPr>
      <w:r>
        <w:t>27. Children and Teens</w:t>
      </w:r>
    </w:p>
    <w:p>
      <w:r>
        <w:rPr>
          <w:sz w:val="20"/>
        </w:rPr>
        <w:t>The Service is intended for users who are at least 17 years old, unless a specific feature, jurisdiction, or app store rule requires a different age threshold.</w:t>
      </w:r>
    </w:p>
    <w:p>
      <w:r>
        <w:rPr>
          <w:sz w:val="20"/>
        </w:rPr>
        <w:t>We do not knowingly collect personal information from children under the required age without appropriate consent. If we learn that we collected personal information from a child without required consent, we will delete it or take other appropriate steps.</w:t>
      </w:r>
    </w:p>
    <w:p>
      <w:r>
        <w:rPr>
          <w:sz w:val="20"/>
        </w:rPr>
        <w:t>If you believe a child has provided personal information to us, contact privacy@yourdategenie.com.</w:t>
      </w:r>
    </w:p>
    <w:p>
      <w:pPr>
        <w:pStyle w:val="Heading1"/>
      </w:pPr>
      <w:r>
        <w:t>28. Third-Party Links and Services</w:t>
      </w:r>
    </w:p>
    <w:p>
      <w:r>
        <w:rPr>
          <w:sz w:val="20"/>
        </w:rPr>
        <w:t>The Service may link to third-party websites, apps, venues, payment pages, maps, reservation platforms, restaurants, event providers, or other services.</w:t>
      </w:r>
    </w:p>
    <w:p>
      <w:r>
        <w:rPr>
          <w:sz w:val="20"/>
        </w:rPr>
        <w:t>We do not control the privacy practices of those third parties. Their privacy policies apply to their collection and use of your information.</w:t>
      </w:r>
    </w:p>
    <w:p>
      <w:pPr>
        <w:pStyle w:val="Heading1"/>
      </w:pPr>
      <w:r>
        <w:t>29. Enterprise, Partner, and Beta Programs</w:t>
      </w:r>
    </w:p>
    <w:p>
      <w:r>
        <w:rPr>
          <w:sz w:val="20"/>
        </w:rPr>
        <w:t>If the Service is offered through a partner, employer, beta program, promotion, or enterprise customer, additional terms may apply.</w:t>
      </w:r>
    </w:p>
    <w:p>
      <w:r>
        <w:rPr>
          <w:sz w:val="20"/>
        </w:rPr>
        <w:t>In some cases, that organization may:</w:t>
      </w:r>
    </w:p>
    <w:p>
      <w:pPr>
        <w:pStyle w:val="ListBullet"/>
        <w:spacing w:after="40"/>
        <w:ind w:left="317" w:hanging="216"/>
      </w:pPr>
      <w:r>
        <w:rPr>
          <w:sz w:val="19"/>
        </w:rPr>
        <w:t>Control or administer the account</w:t>
      </w:r>
    </w:p>
    <w:p>
      <w:pPr>
        <w:pStyle w:val="ListBullet"/>
        <w:spacing w:after="40"/>
        <w:ind w:left="317" w:hanging="216"/>
      </w:pPr>
      <w:r>
        <w:rPr>
          <w:sz w:val="19"/>
        </w:rPr>
        <w:t>Receive account or usage information</w:t>
      </w:r>
    </w:p>
    <w:p>
      <w:pPr>
        <w:pStyle w:val="ListBullet"/>
        <w:spacing w:after="40"/>
        <w:ind w:left="317" w:hanging="216"/>
      </w:pPr>
      <w:r>
        <w:rPr>
          <w:sz w:val="19"/>
        </w:rPr>
        <w:t>Manage billing</w:t>
      </w:r>
    </w:p>
    <w:p>
      <w:pPr>
        <w:pStyle w:val="ListBullet"/>
        <w:spacing w:after="40"/>
        <w:ind w:left="317" w:hanging="216"/>
      </w:pPr>
      <w:r>
        <w:rPr>
          <w:sz w:val="19"/>
        </w:rPr>
        <w:t>Submit privacy requests on behalf of users</w:t>
      </w:r>
    </w:p>
    <w:p>
      <w:pPr>
        <w:pStyle w:val="ListBullet"/>
        <w:spacing w:after="40"/>
        <w:ind w:left="317" w:hanging="216"/>
      </w:pPr>
      <w:r>
        <w:rPr>
          <w:sz w:val="19"/>
        </w:rPr>
        <w:t>Set retention or access rules</w:t>
      </w:r>
    </w:p>
    <w:p>
      <w:pPr>
        <w:pStyle w:val="ListBullet"/>
        <w:spacing w:after="40"/>
        <w:ind w:left="317" w:hanging="216"/>
      </w:pPr>
      <w:r>
        <w:rPr>
          <w:sz w:val="19"/>
        </w:rPr>
        <w:t>Receive reports related to use of the Service</w:t>
      </w:r>
    </w:p>
    <w:p>
      <w:r>
        <w:rPr>
          <w:sz w:val="20"/>
        </w:rPr>
        <w:t>If there is a conflict between this policy and a signed agreement with an enterprise customer, the signed agreement may control where legally permitted.</w:t>
      </w:r>
    </w:p>
    <w:p>
      <w:pPr>
        <w:pStyle w:val="Heading1"/>
      </w:pPr>
      <w:r>
        <w:t>30. Data Processing Agreements</w:t>
      </w:r>
    </w:p>
    <w:p>
      <w:r>
        <w:rPr>
          <w:sz w:val="20"/>
        </w:rPr>
        <w:t>Where required, we enter into data processing agreements with service providers that process personal information for us. These agreements may include confidentiality, security, processing limitation, deletion, assistance, audit, and international transfer terms.</w:t>
      </w:r>
    </w:p>
    <w:p>
      <w:r>
        <w:rPr>
          <w:sz w:val="20"/>
        </w:rPr>
        <w:t>If we process personal information on behalf of an enterprise customer, the customer agreement or data processing agreement may provide additional terms.</w:t>
      </w:r>
    </w:p>
    <w:p>
      <w:pPr>
        <w:pStyle w:val="Heading1"/>
      </w:pPr>
      <w:r>
        <w:t>31. Security Incidents and Breach Notice</w:t>
      </w:r>
    </w:p>
    <w:p>
      <w:r>
        <w:rPr>
          <w:sz w:val="20"/>
        </w:rPr>
        <w:t>If we determine that a security incident affects personal information, we will investigate, take appropriate steps, and notify affected users, customers, regulators, payment partners, or other parties where required by law.</w:t>
      </w:r>
    </w:p>
    <w:p>
      <w:r>
        <w:rPr>
          <w:sz w:val="20"/>
        </w:rPr>
        <w:t>Notice timing and content may vary depending on the law, type of information involved, risk of harm, and our legal obligations.</w:t>
      </w:r>
    </w:p>
    <w:p>
      <w:pPr>
        <w:pStyle w:val="Heading1"/>
      </w:pPr>
      <w:r>
        <w:t>32. Changes to This Policy</w:t>
      </w:r>
    </w:p>
    <w:p>
      <w:r>
        <w:rPr>
          <w:sz w:val="20"/>
        </w:rPr>
        <w:t>We may update this policy from time to time.</w:t>
      </w:r>
    </w:p>
    <w:p>
      <w:r>
        <w:rPr>
          <w:sz w:val="20"/>
        </w:rPr>
        <w:t>If we make material changes, we will provide notice through the Service, by email, on our website, or as otherwise required by law.</w:t>
      </w:r>
    </w:p>
    <w:p>
      <w:r>
        <w:rPr>
          <w:sz w:val="20"/>
        </w:rPr>
        <w:t>The updated policy will show the new "Last Updated" date. Your continued use of the Service after the updated policy takes effect means you acknowledge the updated policy, unless additional consent is required by law.</w:t>
      </w:r>
    </w:p>
    <w:p>
      <w:pPr>
        <w:pStyle w:val="Heading1"/>
      </w:pPr>
      <w:r>
        <w:t>33. Contact Us</w:t>
      </w:r>
    </w:p>
    <w:p>
      <w:r>
        <w:rPr>
          <w:sz w:val="20"/>
        </w:rPr>
        <w:t>For privacy questions, access requests, deletion requests, correction requests, payment privacy concerns, complaints, or other privacy matters, contact:</w:t>
      </w:r>
    </w:p>
    <w:p>
      <w:r>
        <w:rPr>
          <w:sz w:val="20"/>
        </w:rPr>
        <w:t>Your Date Genie LLC</w:t>
      </w:r>
    </w:p>
    <w:p>
      <w:r>
        <w:rPr>
          <w:b/>
          <w:sz w:val="20"/>
        </w:rPr>
        <w:t>Email:</w:t>
      </w:r>
      <w:r>
        <w:rPr>
          <w:sz w:val="20"/>
        </w:rPr>
        <w:t xml:space="preserve"> privacy@yourdategenie.com</w:t>
      </w:r>
    </w:p>
    <w:p>
      <w:r>
        <w:rPr>
          <w:b/>
          <w:sz w:val="20"/>
        </w:rPr>
        <w:t>Website:</w:t>
      </w:r>
      <w:r>
        <w:rPr>
          <w:sz w:val="20"/>
        </w:rPr>
        <w:t xml:space="preserve"> yourdategenie.com</w:t>
      </w:r>
    </w:p>
    <w:p>
      <w:r>
        <w:rPr>
          <w:b/>
          <w:sz w:val="20"/>
        </w:rPr>
        <w:t>Mailing Address:</w:t>
      </w:r>
      <w:r>
        <w:rPr>
          <w:sz w:val="20"/>
        </w:rPr>
        <w:t xml:space="preserve"> New Jersey, United States (full mailing address available on request at privacy@yourdategenie.com)</w:t>
      </w:r>
    </w:p>
    <w:p>
      <w:r>
        <w:rPr>
          <w:sz w:val="20"/>
        </w:rPr>
        <w:t>If you are in the EEA, UK, Switzerland, Brazil, South Africa, Canada, Singapore, Thailand, California, or another jurisdiction with privacy rights, you may also contact your local privacy regulator or data protection authority.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Your Date Genie LLC | Privacy Policy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Your Date Genie LLC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Date Genie Global Privacy Policy</dc:title>
  <dc:subject>Publication-ready privacy policy</dc:subject>
  <dc:creator>Your Date Genie LLC</dc:creator>
  <cp:keywords/>
  <dc:description/>
  <cp:lastModifiedBy/>
  <cp:revision>1</cp:revision>
  <dcterms:created xsi:type="dcterms:W3CDTF">2013-12-23T23:15:00Z</dcterms:created>
  <dcterms:modified xsi:type="dcterms:W3CDTF">2013-12-23T23:15:00Z</dcterms:modified>
  <cp:category/>
</cp:coreProperties>
</file>