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>
          <w:color w:val="FF1493"/>
        </w:rPr>
      </w:pPr>
      <w:r>
        <w:rPr>
          <w:color w:val="FF1493"/>
        </w:rPr>
        <w:t>STOCK (SHARES) PURCHASE AGREEMENT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Heading2"/>
        <w:bidi w:val="0"/>
        <w:jc w:val="left"/>
        <w:rPr/>
      </w:pPr>
      <w:r>
        <w:rPr/>
        <w:t>I. THE PARTIES</w:t>
      </w:r>
    </w:p>
    <w:p>
      <w:pPr>
        <w:pStyle w:val="Normal"/>
        <w:bidi w:val="0"/>
        <w:jc w:val="left"/>
        <w:rPr/>
      </w:pPr>
      <w:r>
        <w:rPr/>
        <w:t>This Stock (Shares) Purchase Agreement (“Agreement”) is dated as of July 17, 2025 (the “Effective Date”), and is made between: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Buyer: Ronny Dio Industries, 789 Synth Lane, Detroit, MI 48201 (“Buyer”).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Seller: Jack Black Hill Corp, 321 Prompt Blvd, San Jose, CA 95112 (“Seller”).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Collectively, the “Parties.”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II. ENTITY</w:t>
      </w:r>
    </w:p>
    <w:p>
      <w:pPr>
        <w:pStyle w:val="Normal"/>
        <w:bidi w:val="0"/>
        <w:jc w:val="left"/>
        <w:rPr/>
      </w:pPr>
      <w:r>
        <w:rPr/>
        <w:t>Entity Name: PromptCraft Inc.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Address: 321 Prompt Blvd, San Jose, CA 95112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State of Incorporation: California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Entity Type: Corporation (the “Business Entity”).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Noto Sans CJK SC" w:cs="Liberation Sans"/>
          <w:b/>
          <w:b/>
          <w:bCs/>
          <w:sz w:val="32"/>
          <w:szCs w:val="32"/>
        </w:rPr>
      </w:pPr>
      <w:r>
        <w:rPr>
          <w:rFonts w:eastAsia="Noto Sans CJK SC" w:cs="Liberation Sans" w:ascii="Liberation Sans" w:hAnsi="Liberation Sans"/>
          <w:b/>
          <w:bCs/>
          <w:sz w:val="32"/>
          <w:szCs w:val="32"/>
        </w:rPr>
        <w:t>III. SHARES</w:t>
      </w:r>
    </w:p>
    <w:p>
      <w:pPr>
        <w:pStyle w:val="Normal"/>
        <w:bidi w:val="0"/>
        <w:jc w:val="left"/>
        <w:rPr/>
      </w:pPr>
      <w:r>
        <w:rPr/>
        <w:t>Number/Percent: 100%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Class/Series: Series A Preferred (the “Shares”).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IV. PURCHASE PRICE</w:t>
      </w:r>
    </w:p>
    <w:p>
      <w:pPr>
        <w:pStyle w:val="Normal"/>
        <w:bidi w:val="0"/>
        <w:jc w:val="left"/>
        <w:rPr/>
      </w:pPr>
      <w:r>
        <w:rPr/>
        <w:t>Amount: $1,500,000,000 (the “Purchase Price”).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Payment Timing: Paid on the Closing Date.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V. CLOSING DATE</w:t>
      </w:r>
    </w:p>
    <w:p>
      <w:pPr>
        <w:pStyle w:val="Normal"/>
        <w:bidi w:val="0"/>
        <w:jc w:val="left"/>
        <w:rPr/>
      </w:pPr>
      <w:r>
        <w:rPr/>
        <w:t>Closing Date: On or before September 1, 2025 (time/location agreed by Parties).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Long-Stop Date: If closing fails by September 15, 2025 (“Long-Stop Date”), either Party may terminate this Agreement unless extended in writing.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VI. PAYMENT METHOD</w:t>
      </w:r>
    </w:p>
    <w:p>
      <w:pPr>
        <w:pStyle w:val="Normal"/>
        <w:bidi w:val="0"/>
        <w:jc w:val="left"/>
        <w:rPr/>
      </w:pPr>
      <w:r>
        <w:rPr/>
        <w:t>Methods: Bank Wire + Restricted Stock.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VII. DEPOSIT</w:t>
      </w:r>
    </w:p>
    <w:p>
      <w:pPr>
        <w:pStyle w:val="Normal"/>
        <w:bidi w:val="0"/>
        <w:jc w:val="left"/>
        <w:rPr/>
      </w:pPr>
      <w:r>
        <w:rPr/>
        <w:t>Amount: $150,000,000 (refundable only per Section VIII).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Due: Within 5 calendar days of Effective Date.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VIII. DUE DILIGENCE PERIOD</w:t>
      </w:r>
    </w:p>
    <w:p>
      <w:pPr>
        <w:pStyle w:val="Normal"/>
        <w:bidi w:val="0"/>
        <w:jc w:val="left"/>
        <w:rPr/>
      </w:pPr>
      <w:r>
        <w:rPr/>
        <w:t>Deadline: Buyer may terminate by August 10, 2025, 3:00 PM PST (with Deposit refund).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Failure to Terminate: Buyer deemed satisfied with due diligence.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IX. DELIVERY</w:t>
      </w:r>
    </w:p>
    <w:p>
      <w:pPr>
        <w:pStyle w:val="Normal"/>
        <w:bidi w:val="0"/>
        <w:jc w:val="left"/>
        <w:rPr/>
      </w:pPr>
      <w:r>
        <w:rPr/>
        <w:t>Shares transferred upon receipt of full Purchase Price.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X. AUTHORITY OF SELLER</w:t>
      </w:r>
    </w:p>
    <w:p>
      <w:pPr>
        <w:pStyle w:val="Normal"/>
        <w:bidi w:val="0"/>
        <w:jc w:val="left"/>
        <w:rPr/>
      </w:pPr>
      <w:r>
        <w:rPr/>
        <w:t>Seller warrants: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Full legal ownership of Shares.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liens/encumbrances on Shares.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XI. AUTHORITY OF BUYER</w:t>
      </w:r>
    </w:p>
    <w:p>
      <w:pPr>
        <w:pStyle w:val="Normal"/>
        <w:bidi w:val="0"/>
        <w:jc w:val="left"/>
        <w:rPr/>
      </w:pPr>
      <w:r>
        <w:rPr/>
        <w:t>Buyer warrants: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Legal capacity to purchase.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Acknowledges investment risks.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XII. RISK ALLOCATION</w:t>
      </w:r>
    </w:p>
    <w:p>
      <w:pPr>
        <w:pStyle w:val="Normal"/>
        <w:bidi w:val="0"/>
        <w:jc w:val="left"/>
        <w:rPr/>
      </w:pPr>
      <w:r>
        <w:rPr/>
        <w:t>Regulatory Risk: Buyer assumes risk of regulatory approvals (e.g., antitrust).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Material Adverse Change (MAC): Seller liable for undisclosed MACs pre-Closing.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Indemnification: Seller indemnifies Buyer for breaches of reps/warranties (survival period: 18 months post-Closing).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Third-Party Consents: Seller responsible for obtaining required consents.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XIII. SIGNATURES</w:t>
      </w:r>
    </w:p>
    <w:p>
      <w:pPr>
        <w:pStyle w:val="Normal"/>
        <w:bidi w:val="0"/>
        <w:jc w:val="left"/>
        <w:rPr/>
      </w:pPr>
      <w:r>
        <w:rPr/>
        <w:t>Signing Deadline: Parties must sign by July 24, 2025.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Counterparts: Electronic/digital signatures valid.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XIV. GOVERNING LAW</w:t>
      </w:r>
    </w:p>
    <w:p>
      <w:pPr>
        <w:pStyle w:val="Normal"/>
        <w:bidi w:val="0"/>
        <w:jc w:val="left"/>
        <w:rPr/>
      </w:pPr>
      <w:r>
        <w:rPr/>
        <w:t>Delaware law governs.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XV. ADDITIONAL TERMS</w:t>
      </w:r>
    </w:p>
    <w:p>
      <w:pPr>
        <w:pStyle w:val="Normal"/>
        <w:bidi w:val="0"/>
        <w:jc w:val="left"/>
        <w:rPr/>
      </w:pPr>
      <w:r>
        <w:rPr/>
        <w:t>Merged entity name: PromptDio AI Tools Inc.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XVI. ENTIRE AGREEMENT</w:t>
      </w:r>
    </w:p>
    <w:p>
      <w:pPr>
        <w:pStyle w:val="Normal"/>
        <w:bidi w:val="0"/>
        <w:jc w:val="left"/>
        <w:rPr/>
      </w:pPr>
      <w:r>
        <w:rPr/>
        <w:t>Supersedes all prior agreements.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SIGNATURES</w:t>
      </w:r>
    </w:p>
    <w:p>
      <w:pPr>
        <w:pStyle w:val="Normal"/>
        <w:bidi w:val="0"/>
        <w:jc w:val="left"/>
        <w:rPr/>
      </w:pPr>
      <w:r>
        <w:rPr/>
        <w:t>Buyer:</w:t>
      </w:r>
    </w:p>
    <w:p>
      <w:pPr>
        <w:pStyle w:val="Normal"/>
        <w:bidi w:val="0"/>
        <w:jc w:val="left"/>
        <w:rPr/>
      </w:pPr>
      <w:r>
        <w:rPr/>
        <w:t xml:space="preserve">Signature: </w:t>
      </w:r>
      <w:r>
        <w:rPr/>
        <w:t>DIO</w:t>
      </w:r>
      <w:r>
        <w:rPr/>
        <w:t xml:space="preserve"> Date: </w:t>
      </w:r>
      <w:r>
        <w:rPr/>
        <w:t>17.9.25</w:t>
      </w:r>
    </w:p>
    <w:p>
      <w:pPr>
        <w:pStyle w:val="Normal"/>
        <w:bidi w:val="0"/>
        <w:jc w:val="left"/>
        <w:rPr/>
      </w:pPr>
      <w:r>
        <w:rPr/>
        <w:t>Print Name: Ronny Dio Industries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Seller:</w:t>
      </w:r>
    </w:p>
    <w:p>
      <w:pPr>
        <w:pStyle w:val="Normal"/>
        <w:bidi w:val="0"/>
        <w:jc w:val="left"/>
        <w:rPr/>
      </w:pPr>
      <w:r>
        <w:rPr/>
        <w:t xml:space="preserve">Signature: </w:t>
      </w:r>
      <w:r>
        <w:rPr/>
        <w:t xml:space="preserve">Jack </w:t>
      </w:r>
      <w:r>
        <w:rPr/>
        <w:t xml:space="preserve"> Date: </w:t>
      </w:r>
      <w:r>
        <w:rPr/>
        <w:t>17.9.25</w:t>
      </w:r>
    </w:p>
    <w:p>
      <w:pPr>
        <w:pStyle w:val="Normal"/>
        <w:bidi w:val="0"/>
        <w:jc w:val="left"/>
        <w:rPr/>
      </w:pPr>
      <w:r>
        <w:rPr/>
        <w:t>Print Name: Jack Black Hill Corp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erif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iberation Serif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334</Words>
  <Characters>2053</Characters>
  <CharactersWithSpaces>2329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2025-07-20T15:44:33Z</dcterms:created>
  <dc:creator/>
  <dc:description/>
  <dc:language>en-US</dc:language>
  <cp:lastModifiedBy/>
  <dcterms:modified xsi:type="dcterms:W3CDTF">2025-07-20T16:28:29Z</dcterms:modified>
  <cp:revision>2</cp:revision>
  <dc:subject/>
  <dc:title/>
</cp:coreProperties>
</file>