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t xml:space="preserve"/>
      </w:r>
    </w:p>
    <w:p>
      <w:pPr>
        <w:spacing w:after="120" w:before="0"/>
        <w:jc w:val="center"/>
      </w:pPr>
      <w:r>
        <w:rPr>
          <w:rFonts w:ascii="Arial" w:cs="Arial" w:eastAsia="Arial" w:hAnsi="Arial"/>
          <w:b/>
          <w:bCs/>
          <w:color w:val="1B3A6B"/>
          <w:sz w:val="52"/>
          <w:szCs w:val="52"/>
        </w:rPr>
        <w:t xml:space="preserve">PINNACLE TRUST BANK</w:t>
      </w:r>
    </w:p>
    <w:p>
      <w:pPr>
        <w:spacing w:after="80" w:before="0"/>
        <w:jc w:val="center"/>
      </w:pPr>
      <w:r>
        <w:rPr>
          <w:rFonts w:ascii="Arial" w:cs="Arial" w:eastAsia="Arial" w:hAnsi="Arial"/>
          <w:i/>
          <w:iCs/>
          <w:color w:val="C8A951"/>
          <w:sz w:val="24"/>
          <w:szCs w:val="24"/>
        </w:rPr>
        <w:t xml:space="preserve">— Established 1987 —</w:t>
      </w:r>
    </w:p>
    <w:p>
      <w:pPr>
        <w:spacing w:after="200" w:before="0"/>
      </w:pPr>
      <w:r>
        <w:t xml:space="preserve"/>
      </w:r>
    </w:p>
    <w:p>
      <w:pPr>
        <w:spacing w:after="120" w:before="0"/>
        <w:jc w:val="center"/>
      </w:pPr>
      <w:r>
        <w:rPr>
          <w:rFonts w:ascii="Arial" w:cs="Arial" w:eastAsia="Arial" w:hAnsi="Arial"/>
          <w:b/>
          <w:bCs/>
          <w:color w:val="333333"/>
          <w:sz w:val="40"/>
          <w:szCs w:val="40"/>
        </w:rPr>
        <w:t xml:space="preserve">COMPREHENSIVE BANKING POLICIES</w:t>
      </w:r>
    </w:p>
    <w:p>
      <w:pPr>
        <w:spacing w:after="60" w:before="0"/>
        <w:jc w:val="center"/>
      </w:pPr>
      <w:r>
        <w:rPr>
          <w:rFonts w:ascii="Arial" w:cs="Arial" w:eastAsia="Arial" w:hAnsi="Arial"/>
          <w:b/>
          <w:bCs/>
          <w:color w:val="333333"/>
          <w:sz w:val="36"/>
          <w:szCs w:val="36"/>
        </w:rPr>
        <w:t xml:space="preserve">&amp; CUSTOMER SERVICE HANDBOOK</w:t>
      </w:r>
    </w:p>
    <w:p>
      <w:pPr>
        <w:spacing w:after="200" w:before="0"/>
      </w:pPr>
      <w:r>
        <w:t xml:space="preserve"/>
      </w:r>
    </w:p>
    <w:p>
      <w:pPr>
        <w:jc w:val="center"/>
      </w:pPr>
      <w:r>
        <w:rPr>
          <w:rFonts w:ascii="Arial" w:cs="Arial" w:eastAsia="Arial" w:hAnsi="Arial"/>
          <w:color w:val="666666"/>
          <w:sz w:val="22"/>
          <w:szCs w:val="22"/>
        </w:rPr>
        <w:t xml:space="preserve">Document Version 4.2  |  Effective Date: January 1, 2025</w:t>
      </w:r>
    </w:p>
    <w:p>
      <w:pPr>
        <w:spacing w:before="60"/>
        <w:jc w:val="center"/>
      </w:pPr>
      <w:r>
        <w:rPr>
          <w:rFonts w:ascii="Arial" w:cs="Arial" w:eastAsia="Arial" w:hAnsi="Arial"/>
          <w:color w:val="666666"/>
          <w:sz w:val="22"/>
          <w:szCs w:val="22"/>
        </w:rPr>
        <w:t xml:space="preserve">Review Date: December 31, 2025</w:t>
      </w:r>
    </w:p>
    <w:p>
      <w:pPr>
        <w:spacing w:after="600" w:before="0"/>
      </w:pPr>
      <w:r>
        <w:t xml:space="preserve"/>
      </w:r>
    </w:p>
    <w:p>
      <w:pPr>
        <w:jc w:val="center"/>
      </w:pPr>
      <w:r>
        <w:rPr>
          <w:rFonts w:ascii="Arial" w:cs="Arial" w:eastAsia="Arial" w:hAnsi="Arial"/>
          <w:b/>
          <w:bCs/>
          <w:color w:val="1B3A6B"/>
          <w:sz w:val="22"/>
          <w:szCs w:val="22"/>
        </w:rPr>
        <w:t xml:space="preserve">PINNACLE TRUST BANK PLC</w:t>
      </w:r>
    </w:p>
    <w:p>
      <w:pPr>
        <w:jc w:val="center"/>
      </w:pPr>
      <w:r>
        <w:rPr>
          <w:rFonts w:ascii="Arial" w:cs="Arial" w:eastAsia="Arial" w:hAnsi="Arial"/>
          <w:color w:val="666666"/>
          <w:sz w:val="20"/>
          <w:szCs w:val="20"/>
        </w:rPr>
        <w:t xml:space="preserve">Corporate Headquarters: 14 Commerce Square, Financial District, Metropolis, MP 10001</w:t>
      </w:r>
    </w:p>
    <w:p>
      <w:pPr>
        <w:jc w:val="center"/>
      </w:pPr>
      <w:r>
        <w:rPr>
          <w:rFonts w:ascii="Arial" w:cs="Arial" w:eastAsia="Arial" w:hAnsi="Arial"/>
          <w:color w:val="666666"/>
          <w:sz w:val="20"/>
          <w:szCs w:val="20"/>
        </w:rPr>
        <w:t xml:space="preserve">Toll-Free: 1-800-PINNACLE  |  www.pinnacletrustbank.com</w:t>
      </w:r>
    </w:p>
    <w:p>
      <w:r>
        <w:br w:type="page"/>
      </w:r>
    </w:p>
    <w:p>
      <w:pPr>
        <w:pStyle w:val="Heading1"/>
        <w:pBdr>
          <w:bottom w:val="single" w:color="1B3A6B" w:sz="6" w:space="6"/>
        </w:pBdr>
        <w:spacing w:after="180" w:before="360"/>
      </w:pPr>
      <w:r>
        <w:rPr>
          <w:rFonts w:ascii="Arial" w:cs="Arial" w:eastAsia="Arial" w:hAnsi="Arial"/>
          <w:b/>
          <w:bCs/>
          <w:color w:val="1B3A6B"/>
          <w:sz w:val="32"/>
          <w:szCs w:val="32"/>
        </w:rPr>
        <w:t xml:space="preserve">1. About Pinnacle Trust Bank</w:t>
      </w:r>
    </w:p>
    <w:p>
      <w:pPr>
        <w:spacing w:after="80" w:before="60"/>
      </w:pPr>
      <w:r>
        <w:rPr>
          <w:rFonts w:ascii="Arial" w:cs="Arial" w:eastAsia="Arial" w:hAnsi="Arial"/>
          <w:color w:val="333333"/>
          <w:sz w:val="22"/>
          <w:szCs w:val="22"/>
        </w:rPr>
        <w:t xml:space="preserve">Pinnacle Trust Bank PLC (PTB) is a full-service commercial bank incorporated under the laws of the Republic of Metropolis in 1987. With over three decades of distinguished service, PTB has grown from a single branch operation in the Financial District to a nationwide network of 142 branches, 48 regional offices, and 1,200+ ATMs spread across all major cities and towns.</w:t>
      </w:r>
    </w:p>
    <w:p>
      <w:pPr>
        <w:spacing w:after="120" w:before="0"/>
      </w:pPr>
      <w:r>
        <w:t xml:space="preserve"/>
      </w:r>
    </w:p>
    <w:p>
      <w:pPr>
        <w:spacing w:after="80" w:before="60"/>
      </w:pPr>
      <w:r>
        <w:rPr>
          <w:rFonts w:ascii="Arial" w:cs="Arial" w:eastAsia="Arial" w:hAnsi="Arial"/>
          <w:color w:val="333333"/>
          <w:sz w:val="22"/>
          <w:szCs w:val="22"/>
        </w:rPr>
        <w:t xml:space="preserve">PTB is regulated by the Metropolis Financial Regulatory Authority (MFRA) and is a member of the National Deposit Insurance Corporation (NDIC), which guarantees customer deposits up to $250,000 per account holder. PTB is also a publicly listed company on the Metropolis Stock Exchange (MSE: PTBK).</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1.1 Our Mission</w:t>
      </w:r>
    </w:p>
    <w:p>
      <w:pPr>
        <w:spacing w:after="80" w:before="60"/>
      </w:pPr>
      <w:r>
        <w:rPr>
          <w:rFonts w:ascii="Arial" w:cs="Arial" w:eastAsia="Arial" w:hAnsi="Arial"/>
          <w:color w:val="333333"/>
          <w:sz w:val="22"/>
          <w:szCs w:val="22"/>
        </w:rPr>
        <w:t xml:space="preserve">To empower individuals, families, and businesses with accessible, transparent, and innovative financial solutions that foster long-term prosperity and trust.</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1.2 Core Values</w:t>
      </w:r>
    </w:p>
    <w:p>
      <w:pPr>
        <w:pStyle w:val="ListParagraph"/>
        <w:numPr>
          <w:ilvl w:val="0"/>
          <w:numId w:val="2"/>
        </w:numPr>
        <w:spacing w:after="40" w:before="40"/>
      </w:pPr>
      <w:r>
        <w:rPr>
          <w:rFonts w:ascii="Arial" w:cs="Arial" w:eastAsia="Arial" w:hAnsi="Arial"/>
          <w:color w:val="333333"/>
          <w:sz w:val="22"/>
          <w:szCs w:val="22"/>
        </w:rPr>
        <w:t xml:space="preserve">Integrity: We operate with complete transparency and ethical conduct in every interaction.</w:t>
      </w:r>
    </w:p>
    <w:p>
      <w:pPr>
        <w:pStyle w:val="ListParagraph"/>
        <w:numPr>
          <w:ilvl w:val="0"/>
          <w:numId w:val="2"/>
        </w:numPr>
        <w:spacing w:after="40" w:before="40"/>
      </w:pPr>
      <w:r>
        <w:rPr>
          <w:rFonts w:ascii="Arial" w:cs="Arial" w:eastAsia="Arial" w:hAnsi="Arial"/>
          <w:color w:val="333333"/>
          <w:sz w:val="22"/>
          <w:szCs w:val="22"/>
        </w:rPr>
        <w:t xml:space="preserve">Customer Centricity: Every policy and product is designed with the customer's best interest at heart.</w:t>
      </w:r>
    </w:p>
    <w:p>
      <w:pPr>
        <w:pStyle w:val="ListParagraph"/>
        <w:numPr>
          <w:ilvl w:val="0"/>
          <w:numId w:val="2"/>
        </w:numPr>
        <w:spacing w:after="40" w:before="40"/>
      </w:pPr>
      <w:r>
        <w:rPr>
          <w:rFonts w:ascii="Arial" w:cs="Arial" w:eastAsia="Arial" w:hAnsi="Arial"/>
          <w:color w:val="333333"/>
          <w:sz w:val="22"/>
          <w:szCs w:val="22"/>
        </w:rPr>
        <w:t xml:space="preserve">Innovation: We continually invest in technology to deliver a seamless banking experience.</w:t>
      </w:r>
    </w:p>
    <w:p>
      <w:pPr>
        <w:pStyle w:val="ListParagraph"/>
        <w:numPr>
          <w:ilvl w:val="0"/>
          <w:numId w:val="2"/>
        </w:numPr>
        <w:spacing w:after="40" w:before="40"/>
      </w:pPr>
      <w:r>
        <w:rPr>
          <w:rFonts w:ascii="Arial" w:cs="Arial" w:eastAsia="Arial" w:hAnsi="Arial"/>
          <w:color w:val="333333"/>
          <w:sz w:val="22"/>
          <w:szCs w:val="22"/>
        </w:rPr>
        <w:t xml:space="preserve">Inclusion: We believe in providing equal access to financial services regardless of background.</w:t>
      </w:r>
    </w:p>
    <w:p>
      <w:pPr>
        <w:pStyle w:val="ListParagraph"/>
        <w:numPr>
          <w:ilvl w:val="0"/>
          <w:numId w:val="2"/>
        </w:numPr>
        <w:spacing w:after="40" w:before="40"/>
      </w:pPr>
      <w:r>
        <w:rPr>
          <w:rFonts w:ascii="Arial" w:cs="Arial" w:eastAsia="Arial" w:hAnsi="Arial"/>
          <w:color w:val="333333"/>
          <w:sz w:val="22"/>
          <w:szCs w:val="22"/>
        </w:rPr>
        <w:t xml:space="preserve">Responsibility: We are committed to sustainable banking practices and community development.</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1.3 Products and Services Overview</w:t>
      </w:r>
    </w:p>
    <w:p>
      <w:pPr>
        <w:spacing w:after="80" w:before="60"/>
      </w:pPr>
      <w:r>
        <w:rPr>
          <w:rFonts w:ascii="Arial" w:cs="Arial" w:eastAsia="Arial" w:hAnsi="Arial"/>
          <w:color w:val="333333"/>
          <w:sz w:val="22"/>
          <w:szCs w:val="22"/>
        </w:rPr>
        <w:t xml:space="preserve">PTB offers a comprehensive suite of financial products and services, including but not limited to:</w:t>
      </w:r>
    </w:p>
    <w:p>
      <w:pPr>
        <w:pStyle w:val="ListParagraph"/>
        <w:numPr>
          <w:ilvl w:val="0"/>
          <w:numId w:val="2"/>
        </w:numPr>
        <w:spacing w:after="40" w:before="40"/>
      </w:pPr>
      <w:r>
        <w:rPr>
          <w:rFonts w:ascii="Arial" w:cs="Arial" w:eastAsia="Arial" w:hAnsi="Arial"/>
          <w:color w:val="333333"/>
          <w:sz w:val="22"/>
          <w:szCs w:val="22"/>
        </w:rPr>
        <w:t xml:space="preserve">Personal Banking: Savings accounts, current accounts, fixed deposits, recurring deposits</w:t>
      </w:r>
    </w:p>
    <w:p>
      <w:pPr>
        <w:pStyle w:val="ListParagraph"/>
        <w:numPr>
          <w:ilvl w:val="0"/>
          <w:numId w:val="2"/>
        </w:numPr>
        <w:spacing w:after="40" w:before="40"/>
      </w:pPr>
      <w:r>
        <w:rPr>
          <w:rFonts w:ascii="Arial" w:cs="Arial" w:eastAsia="Arial" w:hAnsi="Arial"/>
          <w:color w:val="333333"/>
          <w:sz w:val="22"/>
          <w:szCs w:val="22"/>
        </w:rPr>
        <w:t xml:space="preserve">Loan Products: Home loans, personal loans, auto loans, education loans, gold loans, business loans</w:t>
      </w:r>
    </w:p>
    <w:p>
      <w:pPr>
        <w:pStyle w:val="ListParagraph"/>
        <w:numPr>
          <w:ilvl w:val="0"/>
          <w:numId w:val="2"/>
        </w:numPr>
        <w:spacing w:after="40" w:before="40"/>
      </w:pPr>
      <w:r>
        <w:rPr>
          <w:rFonts w:ascii="Arial" w:cs="Arial" w:eastAsia="Arial" w:hAnsi="Arial"/>
          <w:color w:val="333333"/>
          <w:sz w:val="22"/>
          <w:szCs w:val="22"/>
        </w:rPr>
        <w:t xml:space="preserve">Cards: Debit cards, credit cards, prepaid travel cards</w:t>
      </w:r>
    </w:p>
    <w:p>
      <w:pPr>
        <w:pStyle w:val="ListParagraph"/>
        <w:numPr>
          <w:ilvl w:val="0"/>
          <w:numId w:val="2"/>
        </w:numPr>
        <w:spacing w:after="40" w:before="40"/>
      </w:pPr>
      <w:r>
        <w:rPr>
          <w:rFonts w:ascii="Arial" w:cs="Arial" w:eastAsia="Arial" w:hAnsi="Arial"/>
          <w:color w:val="333333"/>
          <w:sz w:val="22"/>
          <w:szCs w:val="22"/>
        </w:rPr>
        <w:t xml:space="preserve">Insurance: Life insurance, health insurance, general insurance (through PTB Insurance Partners)</w:t>
      </w:r>
    </w:p>
    <w:p>
      <w:pPr>
        <w:pStyle w:val="ListParagraph"/>
        <w:numPr>
          <w:ilvl w:val="0"/>
          <w:numId w:val="2"/>
        </w:numPr>
        <w:spacing w:after="40" w:before="40"/>
      </w:pPr>
      <w:r>
        <w:rPr>
          <w:rFonts w:ascii="Arial" w:cs="Arial" w:eastAsia="Arial" w:hAnsi="Arial"/>
          <w:color w:val="333333"/>
          <w:sz w:val="22"/>
          <w:szCs w:val="22"/>
        </w:rPr>
        <w:t xml:space="preserve">Investments: Mutual funds, fixed income securities, equity-linked savings schemes</w:t>
      </w:r>
    </w:p>
    <w:p>
      <w:pPr>
        <w:pStyle w:val="ListParagraph"/>
        <w:numPr>
          <w:ilvl w:val="0"/>
          <w:numId w:val="2"/>
        </w:numPr>
        <w:spacing w:after="40" w:before="40"/>
      </w:pPr>
      <w:r>
        <w:rPr>
          <w:rFonts w:ascii="Arial" w:cs="Arial" w:eastAsia="Arial" w:hAnsi="Arial"/>
          <w:color w:val="333333"/>
          <w:sz w:val="22"/>
          <w:szCs w:val="22"/>
        </w:rPr>
        <w:t xml:space="preserve">Digital Banking: Mobile app, internet banking, UPI, digital wallets</w:t>
      </w:r>
    </w:p>
    <w:p>
      <w:pPr>
        <w:pStyle w:val="ListParagraph"/>
        <w:numPr>
          <w:ilvl w:val="0"/>
          <w:numId w:val="2"/>
        </w:numPr>
        <w:spacing w:after="40" w:before="40"/>
      </w:pPr>
      <w:r>
        <w:rPr>
          <w:rFonts w:ascii="Arial" w:cs="Arial" w:eastAsia="Arial" w:hAnsi="Arial"/>
          <w:color w:val="333333"/>
          <w:sz w:val="22"/>
          <w:szCs w:val="22"/>
        </w:rPr>
        <w:t xml:space="preserve">NRI Services: Foreign currency accounts, remittance, investment advisory for non-residents</w:t>
      </w:r>
    </w:p>
    <w:p>
      <w:pPr>
        <w:pStyle w:val="ListParagraph"/>
        <w:numPr>
          <w:ilvl w:val="0"/>
          <w:numId w:val="2"/>
        </w:numPr>
        <w:spacing w:after="40" w:before="40"/>
      </w:pPr>
      <w:r>
        <w:rPr>
          <w:rFonts w:ascii="Arial" w:cs="Arial" w:eastAsia="Arial" w:hAnsi="Arial"/>
          <w:color w:val="333333"/>
          <w:sz w:val="22"/>
          <w:szCs w:val="22"/>
        </w:rPr>
        <w:t xml:space="preserve">Business &amp; Corporate Banking: Trade finance, working capital, project finance, treasury services</w:t>
      </w:r>
    </w:p>
    <w:p>
      <w:r>
        <w:br w:type="page"/>
      </w:r>
    </w:p>
    <w:p>
      <w:pPr>
        <w:pStyle w:val="Heading1"/>
        <w:pBdr>
          <w:bottom w:val="single" w:color="1B3A6B" w:sz="6" w:space="6"/>
        </w:pBdr>
        <w:spacing w:after="180" w:before="360"/>
      </w:pPr>
      <w:r>
        <w:rPr>
          <w:rFonts w:ascii="Arial" w:cs="Arial" w:eastAsia="Arial" w:hAnsi="Arial"/>
          <w:b/>
          <w:bCs/>
          <w:color w:val="1B3A6B"/>
          <w:sz w:val="32"/>
          <w:szCs w:val="32"/>
        </w:rPr>
        <w:t xml:space="preserve">2. Account Opening Policies</w:t>
      </w:r>
    </w:p>
    <w:p>
      <w:pPr>
        <w:spacing w:after="80" w:before="60"/>
      </w:pPr>
      <w:r>
        <w:rPr>
          <w:rFonts w:ascii="Arial" w:cs="Arial" w:eastAsia="Arial" w:hAnsi="Arial"/>
          <w:color w:val="333333"/>
          <w:sz w:val="22"/>
          <w:szCs w:val="22"/>
        </w:rPr>
        <w:t xml:space="preserve">Pinnacle Trust Bank adheres to strict Know Your Customer (KYC) and Anti-Money Laundering (AML) policies as mandated by the MFRA. All prospective customers must complete the account opening process in compliance with these norms.</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2.1 Eligibility Criteria</w:t>
      </w:r>
    </w:p>
    <w:p>
      <w:pPr>
        <w:pStyle w:val="Heading3"/>
        <w:spacing w:after="80" w:before="200"/>
      </w:pPr>
      <w:r>
        <w:rPr>
          <w:rFonts w:ascii="Arial" w:cs="Arial" w:eastAsia="Arial" w:hAnsi="Arial"/>
          <w:b/>
          <w:bCs/>
          <w:color w:val="333333"/>
          <w:sz w:val="22"/>
          <w:szCs w:val="22"/>
        </w:rPr>
        <w:t xml:space="preserve">2.1.1 Individual Accounts</w:t>
      </w:r>
    </w:p>
    <w:p>
      <w:pPr>
        <w:pStyle w:val="ListParagraph"/>
        <w:numPr>
          <w:ilvl w:val="0"/>
          <w:numId w:val="2"/>
        </w:numPr>
        <w:spacing w:after="40" w:before="40"/>
      </w:pPr>
      <w:r>
        <w:rPr>
          <w:rFonts w:ascii="Arial" w:cs="Arial" w:eastAsia="Arial" w:hAnsi="Arial"/>
          <w:color w:val="333333"/>
          <w:sz w:val="22"/>
          <w:szCs w:val="22"/>
        </w:rPr>
        <w:t xml:space="preserve">Must be 18 years of age or older (minors may open accounts under a guardian).</w:t>
      </w:r>
    </w:p>
    <w:p>
      <w:pPr>
        <w:pStyle w:val="ListParagraph"/>
        <w:numPr>
          <w:ilvl w:val="0"/>
          <w:numId w:val="2"/>
        </w:numPr>
        <w:spacing w:after="40" w:before="40"/>
      </w:pPr>
      <w:r>
        <w:rPr>
          <w:rFonts w:ascii="Arial" w:cs="Arial" w:eastAsia="Arial" w:hAnsi="Arial"/>
          <w:color w:val="333333"/>
          <w:sz w:val="22"/>
          <w:szCs w:val="22"/>
        </w:rPr>
        <w:t xml:space="preserve">Must be a citizen or legal resident of Metropolis, or hold a valid visa for NRI accounts.</w:t>
      </w:r>
    </w:p>
    <w:p>
      <w:pPr>
        <w:pStyle w:val="ListParagraph"/>
        <w:numPr>
          <w:ilvl w:val="0"/>
          <w:numId w:val="2"/>
        </w:numPr>
        <w:spacing w:after="40" w:before="40"/>
      </w:pPr>
      <w:r>
        <w:rPr>
          <w:rFonts w:ascii="Arial" w:cs="Arial" w:eastAsia="Arial" w:hAnsi="Arial"/>
          <w:color w:val="333333"/>
          <w:sz w:val="22"/>
          <w:szCs w:val="22"/>
        </w:rPr>
        <w:t xml:space="preserve">Must provide valid government-issued photo identification.</w:t>
      </w:r>
    </w:p>
    <w:p>
      <w:pPr>
        <w:pStyle w:val="ListParagraph"/>
        <w:numPr>
          <w:ilvl w:val="0"/>
          <w:numId w:val="2"/>
        </w:numPr>
        <w:spacing w:after="40" w:before="40"/>
      </w:pPr>
      <w:r>
        <w:rPr>
          <w:rFonts w:ascii="Arial" w:cs="Arial" w:eastAsia="Arial" w:hAnsi="Arial"/>
          <w:color w:val="333333"/>
          <w:sz w:val="22"/>
          <w:szCs w:val="22"/>
        </w:rPr>
        <w:t xml:space="preserve">Must provide proof of residential address.</w:t>
      </w:r>
    </w:p>
    <w:p>
      <w:pPr>
        <w:pStyle w:val="ListParagraph"/>
        <w:numPr>
          <w:ilvl w:val="0"/>
          <w:numId w:val="2"/>
        </w:numPr>
        <w:spacing w:after="40" w:before="40"/>
      </w:pPr>
      <w:r>
        <w:rPr>
          <w:rFonts w:ascii="Arial" w:cs="Arial" w:eastAsia="Arial" w:hAnsi="Arial"/>
          <w:color w:val="333333"/>
          <w:sz w:val="22"/>
          <w:szCs w:val="22"/>
        </w:rPr>
        <w:t xml:space="preserve">Must not be declared insolvent or blacklisted by any regulatory financial body.</w:t>
      </w:r>
    </w:p>
    <w:p>
      <w:pPr>
        <w:spacing w:after="120" w:before="0"/>
      </w:pPr>
      <w:r>
        <w:t xml:space="preserve"/>
      </w:r>
    </w:p>
    <w:p>
      <w:pPr>
        <w:pStyle w:val="Heading3"/>
        <w:spacing w:after="80" w:before="200"/>
      </w:pPr>
      <w:r>
        <w:rPr>
          <w:rFonts w:ascii="Arial" w:cs="Arial" w:eastAsia="Arial" w:hAnsi="Arial"/>
          <w:b/>
          <w:bCs/>
          <w:color w:val="333333"/>
          <w:sz w:val="22"/>
          <w:szCs w:val="22"/>
        </w:rPr>
        <w:t xml:space="preserve">2.1.2 Business / Corporate Accounts</w:t>
      </w:r>
    </w:p>
    <w:p>
      <w:pPr>
        <w:pStyle w:val="ListParagraph"/>
        <w:numPr>
          <w:ilvl w:val="0"/>
          <w:numId w:val="2"/>
        </w:numPr>
        <w:spacing w:after="40" w:before="40"/>
      </w:pPr>
      <w:r>
        <w:rPr>
          <w:rFonts w:ascii="Arial" w:cs="Arial" w:eastAsia="Arial" w:hAnsi="Arial"/>
          <w:color w:val="333333"/>
          <w:sz w:val="22"/>
          <w:szCs w:val="22"/>
        </w:rPr>
        <w:t xml:space="preserve">Must be a legally registered entity (Sole Proprietorship, Partnership, LLP, or Private/Public Limited Company).</w:t>
      </w:r>
    </w:p>
    <w:p>
      <w:pPr>
        <w:pStyle w:val="ListParagraph"/>
        <w:numPr>
          <w:ilvl w:val="0"/>
          <w:numId w:val="2"/>
        </w:numPr>
        <w:spacing w:after="40" w:before="40"/>
      </w:pPr>
      <w:r>
        <w:rPr>
          <w:rFonts w:ascii="Arial" w:cs="Arial" w:eastAsia="Arial" w:hAnsi="Arial"/>
          <w:color w:val="333333"/>
          <w:sz w:val="22"/>
          <w:szCs w:val="22"/>
        </w:rPr>
        <w:t xml:space="preserve">Must provide Certificate of Incorporation and Memorandum of Association.</w:t>
      </w:r>
    </w:p>
    <w:p>
      <w:pPr>
        <w:pStyle w:val="ListParagraph"/>
        <w:numPr>
          <w:ilvl w:val="0"/>
          <w:numId w:val="2"/>
        </w:numPr>
        <w:spacing w:after="40" w:before="40"/>
      </w:pPr>
      <w:r>
        <w:rPr>
          <w:rFonts w:ascii="Arial" w:cs="Arial" w:eastAsia="Arial" w:hAnsi="Arial"/>
          <w:color w:val="333333"/>
          <w:sz w:val="22"/>
          <w:szCs w:val="22"/>
        </w:rPr>
        <w:t xml:space="preserve">All authorized signatories must complete individual KYC.</w:t>
      </w:r>
    </w:p>
    <w:p>
      <w:pPr>
        <w:pStyle w:val="ListParagraph"/>
        <w:numPr>
          <w:ilvl w:val="0"/>
          <w:numId w:val="2"/>
        </w:numPr>
        <w:spacing w:after="40" w:before="40"/>
      </w:pPr>
      <w:r>
        <w:rPr>
          <w:rFonts w:ascii="Arial" w:cs="Arial" w:eastAsia="Arial" w:hAnsi="Arial"/>
          <w:color w:val="333333"/>
          <w:sz w:val="22"/>
          <w:szCs w:val="22"/>
        </w:rPr>
        <w:t xml:space="preserve">Board Resolution authorizing account opening must be submitted.</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2.2 Required Documents — Individual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Accepted Examples</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Validity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Government Photo 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National ID, Passport, Driver's License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not be expired</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Address Proof</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Utility Bill, Bank Statement, Lease Agreement</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Not older than 3 months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Tax Identification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Tax ID Number / PAN Card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Active and valid</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Recent Photograph</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Passport-size photograph</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Taken within 6 months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Income Proof (for loans)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 slips, ITR, Bank Statements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Last 3–6 months</w:t>
            </w:r>
          </w:p>
        </w:tc>
      </w:tr>
    </w:tbl>
    <w:p>
      <w:pPr>
        <w:spacing w:after="120" w:before="0"/>
      </w:pPr>
      <w:r>
        <w:t xml:space="preserve"/>
      </w:r>
    </w:p>
    <w:p>
      <w:pPr>
        <w:pStyle w:val="Heading2"/>
        <w:spacing w:after="120" w:before="280"/>
      </w:pPr>
      <w:r>
        <w:rPr>
          <w:rFonts w:ascii="Arial" w:cs="Arial" w:eastAsia="Arial" w:hAnsi="Arial"/>
          <w:b/>
          <w:bCs/>
          <w:color w:val="1B3A6B"/>
          <w:sz w:val="26"/>
          <w:szCs w:val="26"/>
        </w:rPr>
        <w:t xml:space="preserve">2.3 Minimum Balance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Account Type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Urban Branches</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Semi-Urban / Rural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Regular Savings Account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$250</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Premium Savings Account</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$2,500</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$1,500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Current Account (Basic)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$2,500</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Current Account (Business Pro)</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$15,000</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$10,000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Zero Balance (Jan Dhan)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w:t>
            </w:r>
          </w:p>
        </w:tc>
      </w:tr>
    </w:tbl>
    <w:p>
      <w:pPr>
        <w:spacing w:after="120" w:before="0"/>
      </w:pPr>
      <w:r>
        <w:t xml:space="preserve"/>
      </w:r>
    </w:p>
    <w:p>
      <w:pPr>
        <w:spacing w:after="80" w:before="60"/>
      </w:pPr>
      <w:r>
        <w:rPr>
          <w:rFonts w:ascii="Arial" w:cs="Arial" w:eastAsia="Arial" w:hAnsi="Arial"/>
          <w:color w:val="333333"/>
          <w:sz w:val="22"/>
          <w:szCs w:val="22"/>
        </w:rPr>
        <w:t xml:space="preserve">Non-maintenance of minimum balance will attract a quarterly non-maintenance charge of $25 for savings accounts and $50 for current accounts. Customers will be notified via SMS and email at least 30 days before charges are applied.</w:t>
      </w:r>
    </w:p>
    <w:p>
      <w:r>
        <w:br w:type="page"/>
      </w:r>
    </w:p>
    <w:p>
      <w:pPr>
        <w:pStyle w:val="Heading1"/>
        <w:pBdr>
          <w:bottom w:val="single" w:color="1B3A6B" w:sz="6" w:space="6"/>
        </w:pBdr>
        <w:spacing w:after="180" w:before="360"/>
      </w:pPr>
      <w:r>
        <w:rPr>
          <w:rFonts w:ascii="Arial" w:cs="Arial" w:eastAsia="Arial" w:hAnsi="Arial"/>
          <w:b/>
          <w:bCs/>
          <w:color w:val="1B3A6B"/>
          <w:sz w:val="32"/>
          <w:szCs w:val="32"/>
        </w:rPr>
        <w:t xml:space="preserve">3. Loan Products and Policies</w:t>
      </w:r>
    </w:p>
    <w:p>
      <w:pPr>
        <w:spacing w:after="80" w:before="60"/>
      </w:pPr>
      <w:r>
        <w:rPr>
          <w:rFonts w:ascii="Arial" w:cs="Arial" w:eastAsia="Arial" w:hAnsi="Arial"/>
          <w:color w:val="333333"/>
          <w:sz w:val="22"/>
          <w:szCs w:val="22"/>
        </w:rPr>
        <w:t xml:space="preserve">Pinnacle Trust Bank offers a wide range of credit products designed to meet the diverse financial needs of its customers. All loan applications are subject to credit appraisal, risk assessment, and approval by the Credit Risk Committee (CRC). PTB follows a transparent and fair lending policy in accordance with the MFRA's Fair Lending Guidelines.</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3.1 Personal Loans</w:t>
      </w:r>
    </w:p>
    <w:p>
      <w:pPr>
        <w:pStyle w:val="Heading3"/>
        <w:spacing w:after="80" w:before="200"/>
      </w:pPr>
      <w:r>
        <w:rPr>
          <w:rFonts w:ascii="Arial" w:cs="Arial" w:eastAsia="Arial" w:hAnsi="Arial"/>
          <w:b/>
          <w:bCs/>
          <w:color w:val="333333"/>
          <w:sz w:val="22"/>
          <w:szCs w:val="22"/>
        </w:rPr>
        <w:t xml:space="preserve">3.1.1 Overview</w:t>
      </w:r>
    </w:p>
    <w:p>
      <w:pPr>
        <w:spacing w:after="80" w:before="60"/>
      </w:pPr>
      <w:r>
        <w:rPr>
          <w:rFonts w:ascii="Arial" w:cs="Arial" w:eastAsia="Arial" w:hAnsi="Arial"/>
          <w:color w:val="333333"/>
          <w:sz w:val="22"/>
          <w:szCs w:val="22"/>
        </w:rPr>
        <w:t xml:space="preserve">Personal loans at PTB are unsecured credit facilities available to salaried employees, self-employed professionals, and business owners. These loans can be used for any legitimate personal purpose including medical emergencies, travel, home renovation, wedding expenses, or debt consolidation.</w:t>
      </w:r>
    </w:p>
    <w:p>
      <w:pPr>
        <w:spacing w:after="120" w:before="0"/>
      </w:pPr>
      <w:r>
        <w:t xml:space="preserve"/>
      </w:r>
    </w:p>
    <w:p>
      <w:pPr>
        <w:pStyle w:val="Heading3"/>
        <w:spacing w:after="80" w:before="200"/>
      </w:pPr>
      <w:r>
        <w:rPr>
          <w:rFonts w:ascii="Arial" w:cs="Arial" w:eastAsia="Arial" w:hAnsi="Arial"/>
          <w:b/>
          <w:bCs/>
          <w:color w:val="333333"/>
          <w:sz w:val="22"/>
          <w:szCs w:val="22"/>
        </w:rPr>
        <w:t xml:space="preserve">3.1.2 Eligibility</w:t>
      </w:r>
    </w:p>
    <w:p>
      <w:pPr>
        <w:pStyle w:val="ListParagraph"/>
        <w:numPr>
          <w:ilvl w:val="0"/>
          <w:numId w:val="2"/>
        </w:numPr>
        <w:spacing w:after="40" w:before="40"/>
      </w:pPr>
      <w:r>
        <w:rPr>
          <w:rFonts w:ascii="Arial" w:cs="Arial" w:eastAsia="Arial" w:hAnsi="Arial"/>
          <w:color w:val="333333"/>
          <w:sz w:val="22"/>
          <w:szCs w:val="22"/>
        </w:rPr>
        <w:t xml:space="preserve">Age: 21 to 60 years (salaried); 25 to 65 years (self-employed)</w:t>
      </w:r>
    </w:p>
    <w:p>
      <w:pPr>
        <w:pStyle w:val="ListParagraph"/>
        <w:numPr>
          <w:ilvl w:val="0"/>
          <w:numId w:val="2"/>
        </w:numPr>
        <w:spacing w:after="40" w:before="40"/>
      </w:pPr>
      <w:r>
        <w:rPr>
          <w:rFonts w:ascii="Arial" w:cs="Arial" w:eastAsia="Arial" w:hAnsi="Arial"/>
          <w:color w:val="333333"/>
          <w:sz w:val="22"/>
          <w:szCs w:val="22"/>
        </w:rPr>
        <w:t xml:space="preserve">Minimum Monthly Income: $1,500 (salaried); $2,000 net profit (self-employed)</w:t>
      </w:r>
    </w:p>
    <w:p>
      <w:pPr>
        <w:pStyle w:val="ListParagraph"/>
        <w:numPr>
          <w:ilvl w:val="0"/>
          <w:numId w:val="2"/>
        </w:numPr>
        <w:spacing w:after="40" w:before="40"/>
      </w:pPr>
      <w:r>
        <w:rPr>
          <w:rFonts w:ascii="Arial" w:cs="Arial" w:eastAsia="Arial" w:hAnsi="Arial"/>
          <w:color w:val="333333"/>
          <w:sz w:val="22"/>
          <w:szCs w:val="22"/>
        </w:rPr>
        <w:t xml:space="preserve">Employment Status: At least 2 years of continuous employment or 3 years of business continuity</w:t>
      </w:r>
    </w:p>
    <w:p>
      <w:pPr>
        <w:pStyle w:val="ListParagraph"/>
        <w:numPr>
          <w:ilvl w:val="0"/>
          <w:numId w:val="2"/>
        </w:numPr>
        <w:spacing w:after="40" w:before="40"/>
      </w:pPr>
      <w:r>
        <w:rPr>
          <w:rFonts w:ascii="Arial" w:cs="Arial" w:eastAsia="Arial" w:hAnsi="Arial"/>
          <w:color w:val="333333"/>
          <w:sz w:val="22"/>
          <w:szCs w:val="22"/>
        </w:rPr>
        <w:t xml:space="preserve">Credit Score: Minimum 680 on the Metropolis Credit Bureau (MCB) scale</w:t>
      </w:r>
    </w:p>
    <w:p>
      <w:pPr>
        <w:pStyle w:val="ListParagraph"/>
        <w:numPr>
          <w:ilvl w:val="0"/>
          <w:numId w:val="2"/>
        </w:numPr>
        <w:spacing w:after="40" w:before="40"/>
      </w:pPr>
      <w:r>
        <w:rPr>
          <w:rFonts w:ascii="Arial" w:cs="Arial" w:eastAsia="Arial" w:hAnsi="Arial"/>
          <w:color w:val="333333"/>
          <w:sz w:val="22"/>
          <w:szCs w:val="22"/>
        </w:rPr>
        <w:t xml:space="preserve">Existing PTB relationship: Preferred but not mandatory</w:t>
      </w:r>
    </w:p>
    <w:p>
      <w:pPr>
        <w:spacing w:after="120" w:before="0"/>
      </w:pPr>
      <w:r>
        <w:t xml:space="preserve"/>
      </w:r>
    </w:p>
    <w:p>
      <w:pPr>
        <w:pStyle w:val="Heading3"/>
        <w:spacing w:after="80" w:before="200"/>
      </w:pPr>
      <w:r>
        <w:rPr>
          <w:rFonts w:ascii="Arial" w:cs="Arial" w:eastAsia="Arial" w:hAnsi="Arial"/>
          <w:b/>
          <w:bCs/>
          <w:color w:val="333333"/>
          <w:sz w:val="22"/>
          <w:szCs w:val="22"/>
        </w:rPr>
        <w:t xml:space="preserve">3.1.3 Loan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Loan Amount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$1,000 – $50,000</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Tenure</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12 – 60 months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Interest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10.5% – 18.5% p.a. (reducing balance)</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Processing Fee</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1.5% of loan amount + applicable taxes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Prepayment Charges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Nil after 12 EMIs; 3% before 12 EMIs</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Disbursement Time</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Within 3 business days of approval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Collateral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 (unsecured)</w:t>
            </w:r>
          </w:p>
        </w:tc>
      </w:tr>
    </w:tbl>
    <w:p>
      <w:pPr>
        <w:spacing w:after="120" w:before="0"/>
      </w:pPr>
      <w:r>
        <w:t xml:space="preserve"/>
      </w:r>
    </w:p>
    <w:p>
      <w:pPr>
        <w:pStyle w:val="Heading2"/>
        <w:spacing w:after="120" w:before="280"/>
      </w:pPr>
      <w:r>
        <w:rPr>
          <w:rFonts w:ascii="Arial" w:cs="Arial" w:eastAsia="Arial" w:hAnsi="Arial"/>
          <w:b/>
          <w:bCs/>
          <w:color w:val="1B3A6B"/>
          <w:sz w:val="26"/>
          <w:szCs w:val="26"/>
        </w:rPr>
        <w:t xml:space="preserve">3.2 Home Loans</w:t>
      </w:r>
    </w:p>
    <w:p>
      <w:pPr>
        <w:pStyle w:val="Heading3"/>
        <w:spacing w:after="80" w:before="200"/>
      </w:pPr>
      <w:r>
        <w:rPr>
          <w:rFonts w:ascii="Arial" w:cs="Arial" w:eastAsia="Arial" w:hAnsi="Arial"/>
          <w:b/>
          <w:bCs/>
          <w:color w:val="333333"/>
          <w:sz w:val="22"/>
          <w:szCs w:val="22"/>
        </w:rPr>
        <w:t xml:space="preserve">3.2.1 Overview</w:t>
      </w:r>
    </w:p>
    <w:p>
      <w:pPr>
        <w:spacing w:after="80" w:before="60"/>
      </w:pPr>
      <w:r>
        <w:rPr>
          <w:rFonts w:ascii="Arial" w:cs="Arial" w:eastAsia="Arial" w:hAnsi="Arial"/>
          <w:color w:val="333333"/>
          <w:sz w:val="22"/>
          <w:szCs w:val="22"/>
        </w:rPr>
        <w:t xml:space="preserve">PTB Home Loans are designed to help customers purchase, construct, or renovate their dream homes. With competitive interest rates, flexible tenures, and dedicated relationship managers, PTB makes the home-buying journey smooth and transparent.</w:t>
      </w:r>
    </w:p>
    <w:p>
      <w:pPr>
        <w:spacing w:after="120" w:before="0"/>
      </w:pPr>
      <w:r>
        <w:t xml:space="preserve"/>
      </w:r>
    </w:p>
    <w:p>
      <w:pPr>
        <w:pStyle w:val="Heading3"/>
        <w:spacing w:after="80" w:before="200"/>
      </w:pPr>
      <w:r>
        <w:rPr>
          <w:rFonts w:ascii="Arial" w:cs="Arial" w:eastAsia="Arial" w:hAnsi="Arial"/>
          <w:b/>
          <w:bCs/>
          <w:color w:val="333333"/>
          <w:sz w:val="22"/>
          <w:szCs w:val="22"/>
        </w:rPr>
        <w:t xml:space="preserve">3.2.2 Eligibility</w:t>
      </w:r>
    </w:p>
    <w:p>
      <w:pPr>
        <w:pStyle w:val="ListParagraph"/>
        <w:numPr>
          <w:ilvl w:val="0"/>
          <w:numId w:val="2"/>
        </w:numPr>
        <w:spacing w:after="40" w:before="40"/>
      </w:pPr>
      <w:r>
        <w:rPr>
          <w:rFonts w:ascii="Arial" w:cs="Arial" w:eastAsia="Arial" w:hAnsi="Arial"/>
          <w:color w:val="333333"/>
          <w:sz w:val="22"/>
          <w:szCs w:val="22"/>
        </w:rPr>
        <w:t xml:space="preserve">Age: 21 to 70 years (loan must be fully repaid by age 70)</w:t>
      </w:r>
    </w:p>
    <w:p>
      <w:pPr>
        <w:pStyle w:val="ListParagraph"/>
        <w:numPr>
          <w:ilvl w:val="0"/>
          <w:numId w:val="2"/>
        </w:numPr>
        <w:spacing w:after="40" w:before="40"/>
      </w:pPr>
      <w:r>
        <w:rPr>
          <w:rFonts w:ascii="Arial" w:cs="Arial" w:eastAsia="Arial" w:hAnsi="Arial"/>
          <w:color w:val="333333"/>
          <w:sz w:val="22"/>
          <w:szCs w:val="22"/>
        </w:rPr>
        <w:t xml:space="preserve">Minimum Net Monthly Income: $3,000 (individual); $4,500 (joint)</w:t>
      </w:r>
    </w:p>
    <w:p>
      <w:pPr>
        <w:pStyle w:val="ListParagraph"/>
        <w:numPr>
          <w:ilvl w:val="0"/>
          <w:numId w:val="2"/>
        </w:numPr>
        <w:spacing w:after="40" w:before="40"/>
      </w:pPr>
      <w:r>
        <w:rPr>
          <w:rFonts w:ascii="Arial" w:cs="Arial" w:eastAsia="Arial" w:hAnsi="Arial"/>
          <w:color w:val="333333"/>
          <w:sz w:val="22"/>
          <w:szCs w:val="22"/>
        </w:rPr>
        <w:t xml:space="preserve">Property: Must be legally clear and approved by the local municipal authority</w:t>
      </w:r>
    </w:p>
    <w:p>
      <w:pPr>
        <w:pStyle w:val="ListParagraph"/>
        <w:numPr>
          <w:ilvl w:val="0"/>
          <w:numId w:val="2"/>
        </w:numPr>
        <w:spacing w:after="40" w:before="40"/>
      </w:pPr>
      <w:r>
        <w:rPr>
          <w:rFonts w:ascii="Arial" w:cs="Arial" w:eastAsia="Arial" w:hAnsi="Arial"/>
          <w:color w:val="333333"/>
          <w:sz w:val="22"/>
          <w:szCs w:val="22"/>
        </w:rPr>
        <w:t xml:space="preserve">Credit Score: Minimum 700 on MCB scale</w:t>
      </w:r>
    </w:p>
    <w:p>
      <w:pPr>
        <w:pStyle w:val="ListParagraph"/>
        <w:numPr>
          <w:ilvl w:val="0"/>
          <w:numId w:val="2"/>
        </w:numPr>
        <w:spacing w:after="40" w:before="40"/>
      </w:pPr>
      <w:r>
        <w:rPr>
          <w:rFonts w:ascii="Arial" w:cs="Arial" w:eastAsia="Arial" w:hAnsi="Arial"/>
          <w:color w:val="333333"/>
          <w:sz w:val="22"/>
          <w:szCs w:val="22"/>
        </w:rPr>
        <w:t xml:space="preserve">Loan-to-Value (LTV): Up to 80% of property value for properties above $200,000; up to 90% for properties below $200,000</w:t>
      </w:r>
    </w:p>
    <w:p>
      <w:pPr>
        <w:spacing w:after="120" w:before="0"/>
      </w:pPr>
      <w:r>
        <w:t xml:space="preserve"/>
      </w:r>
    </w:p>
    <w:p>
      <w:pPr>
        <w:pStyle w:val="Heading3"/>
        <w:spacing w:after="80" w:before="200"/>
      </w:pPr>
      <w:r>
        <w:rPr>
          <w:rFonts w:ascii="Arial" w:cs="Arial" w:eastAsia="Arial" w:hAnsi="Arial"/>
          <w:b/>
          <w:bCs/>
          <w:color w:val="333333"/>
          <w:sz w:val="22"/>
          <w:szCs w:val="22"/>
        </w:rPr>
        <w:t xml:space="preserve">3.2.3 Home Loan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Loan Amount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$25,000 – $5,000,000</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Tenure</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5 – 30 years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Interest Rate (Floating)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8.25% – 10.75% p.a.</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Interest Rate (Fixed)</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9.00% – 11.50% p.a. (2-year lock-in)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Processing Fee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0.5% of loan amount (max $5,000) + taxes</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Prepayment (Floating)</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Nil at any point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Prepayment (Fixed)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if prepaid within lock-in period</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Legal &amp; Valuation Fee</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$300 – $800 depending on property 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Disbursement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Direct to seller / builder as per sale agreement</w:t>
            </w:r>
          </w:p>
        </w:tc>
      </w:tr>
    </w:tbl>
    <w:p>
      <w:pPr>
        <w:spacing w:after="120" w:before="0"/>
      </w:pPr>
      <w:r>
        <w:t xml:space="preserve"/>
      </w:r>
    </w:p>
    <w:p>
      <w:pPr>
        <w:pStyle w:val="Heading2"/>
        <w:spacing w:after="120" w:before="280"/>
      </w:pPr>
      <w:r>
        <w:rPr>
          <w:rFonts w:ascii="Arial" w:cs="Arial" w:eastAsia="Arial" w:hAnsi="Arial"/>
          <w:b/>
          <w:bCs/>
          <w:color w:val="1B3A6B"/>
          <w:sz w:val="26"/>
          <w:szCs w:val="26"/>
        </w:rPr>
        <w:t xml:space="preserve">3.3 Auto Loans</w:t>
      </w:r>
    </w:p>
    <w:p>
      <w:pPr>
        <w:pStyle w:val="Heading3"/>
        <w:spacing w:after="80" w:before="200"/>
      </w:pPr>
      <w:r>
        <w:rPr>
          <w:rFonts w:ascii="Arial" w:cs="Arial" w:eastAsia="Arial" w:hAnsi="Arial"/>
          <w:b/>
          <w:bCs/>
          <w:color w:val="333333"/>
          <w:sz w:val="22"/>
          <w:szCs w:val="22"/>
        </w:rPr>
        <w:t xml:space="preserve">3.3.1 Overview</w:t>
      </w:r>
    </w:p>
    <w:p>
      <w:pPr>
        <w:spacing w:after="80" w:before="60"/>
      </w:pPr>
      <w:r>
        <w:rPr>
          <w:rFonts w:ascii="Arial" w:cs="Arial" w:eastAsia="Arial" w:hAnsi="Arial"/>
          <w:color w:val="333333"/>
          <w:sz w:val="22"/>
          <w:szCs w:val="22"/>
        </w:rPr>
        <w:t xml:space="preserve">PTB Auto Loans provide financing for the purchase of new and used vehicles including passenger cars, two-wheelers, commercial vehicles, and electric vehicles. PTB has tie-ups with over 500 authorized dealerships nationwide for on-the-spot loan approvals.</w:t>
      </w:r>
    </w:p>
    <w:p>
      <w:pPr>
        <w:spacing w:after="120" w:before="0"/>
      </w:pPr>
      <w:r>
        <w:t xml:space="preserve"/>
      </w:r>
    </w:p>
    <w:p>
      <w:pPr>
        <w:pStyle w:val="Heading3"/>
        <w:spacing w:after="80" w:before="200"/>
      </w:pPr>
      <w:r>
        <w:rPr>
          <w:rFonts w:ascii="Arial" w:cs="Arial" w:eastAsia="Arial" w:hAnsi="Arial"/>
          <w:b/>
          <w:bCs/>
          <w:color w:val="333333"/>
          <w:sz w:val="22"/>
          <w:szCs w:val="22"/>
        </w:rPr>
        <w:t xml:space="preserve">3.3.2 Auto Loan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New Vehicle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Used Vehicle (Max 5 yrs old)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 to 90%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 to 75%</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Tenure</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1 – 7 years</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1 – 5 years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Interest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7.99% – 12.5% p.a.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10.5% – 15.5% p.a.</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Processing Fee</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1% + taxes</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1.5% + taxes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Prepayment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Nil after 6 months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if before 12 months</w:t>
            </w:r>
          </w:p>
        </w:tc>
      </w:tr>
    </w:tbl>
    <w:p>
      <w:pPr>
        <w:spacing w:after="120" w:before="0"/>
      </w:pPr>
      <w:r>
        <w:t xml:space="preserve"/>
      </w:r>
    </w:p>
    <w:p>
      <w:pPr>
        <w:pStyle w:val="Heading2"/>
        <w:spacing w:after="120" w:before="280"/>
      </w:pPr>
      <w:r>
        <w:rPr>
          <w:rFonts w:ascii="Arial" w:cs="Arial" w:eastAsia="Arial" w:hAnsi="Arial"/>
          <w:b/>
          <w:bCs/>
          <w:color w:val="1B3A6B"/>
          <w:sz w:val="26"/>
          <w:szCs w:val="26"/>
        </w:rPr>
        <w:t xml:space="preserve">3.4 Education Loans</w:t>
      </w:r>
    </w:p>
    <w:p>
      <w:pPr>
        <w:spacing w:after="80" w:before="60"/>
      </w:pPr>
      <w:r>
        <w:rPr>
          <w:rFonts w:ascii="Arial" w:cs="Arial" w:eastAsia="Arial" w:hAnsi="Arial"/>
          <w:color w:val="333333"/>
          <w:sz w:val="22"/>
          <w:szCs w:val="22"/>
        </w:rPr>
        <w:t xml:space="preserve">PTB Education Loans support students pursuing higher education in Metropolis and abroad. Loans are offered for recognized graduate, postgraduate, diploma, and professional courses at accredited institutions.</w:t>
      </w:r>
    </w:p>
    <w:p>
      <w:pPr>
        <w:spacing w:after="120" w:before="0"/>
      </w:pPr>
      <w:r>
        <w:t xml:space="preserve"/>
      </w:r>
    </w:p>
    <w:p>
      <w:pPr>
        <w:pStyle w:val="ListParagraph"/>
        <w:numPr>
          <w:ilvl w:val="0"/>
          <w:numId w:val="2"/>
        </w:numPr>
        <w:spacing w:after="40" w:before="40"/>
      </w:pPr>
      <w:r>
        <w:rPr>
          <w:rFonts w:ascii="Arial" w:cs="Arial" w:eastAsia="Arial" w:hAnsi="Arial"/>
          <w:color w:val="333333"/>
          <w:sz w:val="22"/>
          <w:szCs w:val="22"/>
        </w:rPr>
        <w:t xml:space="preserve">Loan Amount: Up to $75,000 for domestic education; up to $150,000 for international education</w:t>
      </w:r>
    </w:p>
    <w:p>
      <w:pPr>
        <w:pStyle w:val="ListParagraph"/>
        <w:numPr>
          <w:ilvl w:val="0"/>
          <w:numId w:val="2"/>
        </w:numPr>
        <w:spacing w:after="40" w:before="40"/>
      </w:pPr>
      <w:r>
        <w:rPr>
          <w:rFonts w:ascii="Arial" w:cs="Arial" w:eastAsia="Arial" w:hAnsi="Arial"/>
          <w:color w:val="333333"/>
          <w:sz w:val="22"/>
          <w:szCs w:val="22"/>
        </w:rPr>
        <w:t xml:space="preserve">Repayment: Moratorium period (course duration + 6 months) before EMIs begin</w:t>
      </w:r>
    </w:p>
    <w:p>
      <w:pPr>
        <w:pStyle w:val="ListParagraph"/>
        <w:numPr>
          <w:ilvl w:val="0"/>
          <w:numId w:val="2"/>
        </w:numPr>
        <w:spacing w:after="40" w:before="40"/>
      </w:pPr>
      <w:r>
        <w:rPr>
          <w:rFonts w:ascii="Arial" w:cs="Arial" w:eastAsia="Arial" w:hAnsi="Arial"/>
          <w:color w:val="333333"/>
          <w:sz w:val="22"/>
          <w:szCs w:val="22"/>
        </w:rPr>
        <w:t xml:space="preserve">Interest Rate: 8.5% – 12.5% p.a. depending on course and institution ranking</w:t>
      </w:r>
    </w:p>
    <w:p>
      <w:pPr>
        <w:pStyle w:val="ListParagraph"/>
        <w:numPr>
          <w:ilvl w:val="0"/>
          <w:numId w:val="2"/>
        </w:numPr>
        <w:spacing w:after="40" w:before="40"/>
      </w:pPr>
      <w:r>
        <w:rPr>
          <w:rFonts w:ascii="Arial" w:cs="Arial" w:eastAsia="Arial" w:hAnsi="Arial"/>
          <w:color w:val="333333"/>
          <w:sz w:val="22"/>
          <w:szCs w:val="22"/>
        </w:rPr>
        <w:t xml:space="preserve">Collateral: Required for loans above $40,000 (property, FD, or third-party guarantee)</w:t>
      </w:r>
    </w:p>
    <w:p>
      <w:pPr>
        <w:pStyle w:val="ListParagraph"/>
        <w:numPr>
          <w:ilvl w:val="0"/>
          <w:numId w:val="2"/>
        </w:numPr>
        <w:spacing w:after="40" w:before="40"/>
      </w:pPr>
      <w:r>
        <w:rPr>
          <w:rFonts w:ascii="Arial" w:cs="Arial" w:eastAsia="Arial" w:hAnsi="Arial"/>
          <w:color w:val="333333"/>
          <w:sz w:val="22"/>
          <w:szCs w:val="22"/>
        </w:rPr>
        <w:t xml:space="preserve">Interest Subsidy: Available under the government's Central Scheme for economically weaker sections</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3.5 Business Loans</w:t>
      </w:r>
    </w:p>
    <w:p>
      <w:pPr>
        <w:spacing w:after="80" w:before="60"/>
      </w:pPr>
      <w:r>
        <w:rPr>
          <w:rFonts w:ascii="Arial" w:cs="Arial" w:eastAsia="Arial" w:hAnsi="Arial"/>
          <w:color w:val="333333"/>
          <w:sz w:val="22"/>
          <w:szCs w:val="22"/>
        </w:rPr>
        <w:t xml:space="preserve">PTB Business Loans are tailored to the needs of MSMEs, startups, and established enterprises seeking working capital, equipment financing, or expansion funding.</w:t>
      </w:r>
    </w:p>
    <w:p>
      <w:pPr>
        <w:spacing w:after="120" w:before="0"/>
      </w:pPr>
      <w:r>
        <w:t xml:space="preserve"/>
      </w:r>
    </w:p>
    <w:p>
      <w:pPr>
        <w:pStyle w:val="Heading3"/>
        <w:spacing w:after="80" w:before="200"/>
      </w:pPr>
      <w:r>
        <w:rPr>
          <w:rFonts w:ascii="Arial" w:cs="Arial" w:eastAsia="Arial" w:hAnsi="Arial"/>
          <w:b/>
          <w:bCs/>
          <w:color w:val="333333"/>
          <w:sz w:val="22"/>
          <w:szCs w:val="22"/>
        </w:rPr>
        <w:t xml:space="preserve">3.5.1 Types of Business Loan Facilities</w:t>
      </w:r>
    </w:p>
    <w:p>
      <w:pPr>
        <w:pStyle w:val="ListParagraph"/>
        <w:numPr>
          <w:ilvl w:val="0"/>
          <w:numId w:val="2"/>
        </w:numPr>
        <w:spacing w:after="40" w:before="40"/>
      </w:pPr>
      <w:r>
        <w:rPr>
          <w:rFonts w:ascii="Arial" w:cs="Arial" w:eastAsia="Arial" w:hAnsi="Arial"/>
          <w:color w:val="333333"/>
          <w:sz w:val="22"/>
          <w:szCs w:val="22"/>
        </w:rPr>
        <w:t xml:space="preserve">Term Loan: For purchase of fixed assets, expansion, or construction</w:t>
      </w:r>
    </w:p>
    <w:p>
      <w:pPr>
        <w:pStyle w:val="ListParagraph"/>
        <w:numPr>
          <w:ilvl w:val="0"/>
          <w:numId w:val="2"/>
        </w:numPr>
        <w:spacing w:after="40" w:before="40"/>
      </w:pPr>
      <w:r>
        <w:rPr>
          <w:rFonts w:ascii="Arial" w:cs="Arial" w:eastAsia="Arial" w:hAnsi="Arial"/>
          <w:color w:val="333333"/>
          <w:sz w:val="22"/>
          <w:szCs w:val="22"/>
        </w:rPr>
        <w:t xml:space="preserve">Working Capital Loan / Overdraft: For day-to-day operational expenses</w:t>
      </w:r>
    </w:p>
    <w:p>
      <w:pPr>
        <w:pStyle w:val="ListParagraph"/>
        <w:numPr>
          <w:ilvl w:val="0"/>
          <w:numId w:val="2"/>
        </w:numPr>
        <w:spacing w:after="40" w:before="40"/>
      </w:pPr>
      <w:r>
        <w:rPr>
          <w:rFonts w:ascii="Arial" w:cs="Arial" w:eastAsia="Arial" w:hAnsi="Arial"/>
          <w:color w:val="333333"/>
          <w:sz w:val="22"/>
          <w:szCs w:val="22"/>
        </w:rPr>
        <w:t xml:space="preserve">Equipment Financing: For purchase of machinery and equipment</w:t>
      </w:r>
    </w:p>
    <w:p>
      <w:pPr>
        <w:pStyle w:val="ListParagraph"/>
        <w:numPr>
          <w:ilvl w:val="0"/>
          <w:numId w:val="2"/>
        </w:numPr>
        <w:spacing w:after="40" w:before="40"/>
      </w:pPr>
      <w:r>
        <w:rPr>
          <w:rFonts w:ascii="Arial" w:cs="Arial" w:eastAsia="Arial" w:hAnsi="Arial"/>
          <w:color w:val="333333"/>
          <w:sz w:val="22"/>
          <w:szCs w:val="22"/>
        </w:rPr>
        <w:t xml:space="preserve">Invoice Discounting / Factoring: Against verified customer invoices</w:t>
      </w:r>
    </w:p>
    <w:p>
      <w:pPr>
        <w:pStyle w:val="ListParagraph"/>
        <w:numPr>
          <w:ilvl w:val="0"/>
          <w:numId w:val="2"/>
        </w:numPr>
        <w:spacing w:after="40" w:before="40"/>
      </w:pPr>
      <w:r>
        <w:rPr>
          <w:rFonts w:ascii="Arial" w:cs="Arial" w:eastAsia="Arial" w:hAnsi="Arial"/>
          <w:color w:val="333333"/>
          <w:sz w:val="22"/>
          <w:szCs w:val="22"/>
        </w:rPr>
        <w:t xml:space="preserve">Letter of Credit / Bank Guarantee: For trade transactions</w:t>
      </w:r>
    </w:p>
    <w:p>
      <w:pPr>
        <w:spacing w:after="120" w:before="0"/>
      </w:pPr>
      <w:r>
        <w:t xml:space="preserve"/>
      </w:r>
    </w:p>
    <w:p>
      <w:pPr>
        <w:pStyle w:val="Heading3"/>
        <w:spacing w:after="80" w:before="200"/>
      </w:pPr>
      <w:r>
        <w:rPr>
          <w:rFonts w:ascii="Arial" w:cs="Arial" w:eastAsia="Arial" w:hAnsi="Arial"/>
          <w:b/>
          <w:bCs/>
          <w:color w:val="333333"/>
          <w:sz w:val="22"/>
          <w:szCs w:val="22"/>
        </w:rPr>
        <w:t xml:space="preserve">3.5.2 Business Loan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Loan Amount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$10,000 – $10,000,000</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Tenure</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12 months – 10 years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Interest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 – 19% p.a. (based on credit profile and collateral)</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Collateral</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Commercial property, machinery, FDs, or personal guarantee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Processing Fee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 2% of sanctioned amount</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Business Vintage</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Minimum 2 years of operations with ITR proof</w:t>
            </w:r>
          </w:p>
        </w:tc>
      </w:tr>
    </w:tbl>
    <w:p>
      <w:r>
        <w:br w:type="page"/>
      </w:r>
    </w:p>
    <w:p>
      <w:pPr>
        <w:pStyle w:val="Heading1"/>
        <w:pBdr>
          <w:bottom w:val="single" w:color="1B3A6B" w:sz="6" w:space="6"/>
        </w:pBdr>
        <w:spacing w:after="180" w:before="360"/>
      </w:pPr>
      <w:r>
        <w:rPr>
          <w:rFonts w:ascii="Arial" w:cs="Arial" w:eastAsia="Arial" w:hAnsi="Arial"/>
          <w:b/>
          <w:bCs/>
          <w:color w:val="1B3A6B"/>
          <w:sz w:val="32"/>
          <w:szCs w:val="32"/>
        </w:rPr>
        <w:t xml:space="preserve">4. How to Apply for a Loan</w:t>
      </w:r>
    </w:p>
    <w:p>
      <w:pPr>
        <w:spacing w:after="80" w:before="60"/>
      </w:pPr>
      <w:r>
        <w:rPr>
          <w:rFonts w:ascii="Arial" w:cs="Arial" w:eastAsia="Arial" w:hAnsi="Arial"/>
          <w:color w:val="333333"/>
          <w:sz w:val="22"/>
          <w:szCs w:val="22"/>
        </w:rPr>
        <w:t xml:space="preserve">Pinnacle Trust Bank offers multiple convenient channels for loan applications. The entire process is designed to be transparent, fast, and hassle-free. Below is a detailed step-by-step guide for applying for any loan at PTB.</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4.1 Application Channels</w:t>
      </w:r>
    </w:p>
    <w:p>
      <w:pPr>
        <w:pStyle w:val="Heading3"/>
        <w:spacing w:after="80" w:before="200"/>
      </w:pPr>
      <w:r>
        <w:rPr>
          <w:rFonts w:ascii="Arial" w:cs="Arial" w:eastAsia="Arial" w:hAnsi="Arial"/>
          <w:b/>
          <w:bCs/>
          <w:color w:val="333333"/>
          <w:sz w:val="22"/>
          <w:szCs w:val="22"/>
        </w:rPr>
        <w:t xml:space="preserve">4.1.1 Online Application (Recommended)</w:t>
      </w:r>
    </w:p>
    <w:p>
      <w:pPr>
        <w:pStyle w:val="ListParagraph"/>
        <w:numPr>
          <w:ilvl w:val="0"/>
          <w:numId w:val="3"/>
        </w:numPr>
        <w:spacing w:after="40" w:before="40"/>
      </w:pPr>
      <w:r>
        <w:rPr>
          <w:rFonts w:ascii="Arial" w:cs="Arial" w:eastAsia="Arial" w:hAnsi="Arial"/>
          <w:color w:val="333333"/>
          <w:sz w:val="22"/>
          <w:szCs w:val="22"/>
        </w:rPr>
        <w:t xml:space="preserve">Visit www.pinnacletrustbank.com and log in or register as a new user.</w:t>
      </w:r>
    </w:p>
    <w:p>
      <w:pPr>
        <w:pStyle w:val="ListParagraph"/>
        <w:numPr>
          <w:ilvl w:val="0"/>
          <w:numId w:val="3"/>
        </w:numPr>
        <w:spacing w:after="40" w:before="40"/>
      </w:pPr>
      <w:r>
        <w:rPr>
          <w:rFonts w:ascii="Arial" w:cs="Arial" w:eastAsia="Arial" w:hAnsi="Arial"/>
          <w:color w:val="333333"/>
          <w:sz w:val="22"/>
          <w:szCs w:val="22"/>
        </w:rPr>
        <w:t xml:space="preserve">Navigate to 'Loans &amp; Credit' and select the desired loan product.</w:t>
      </w:r>
    </w:p>
    <w:p>
      <w:pPr>
        <w:pStyle w:val="ListParagraph"/>
        <w:numPr>
          <w:ilvl w:val="0"/>
          <w:numId w:val="3"/>
        </w:numPr>
        <w:spacing w:after="40" w:before="40"/>
      </w:pPr>
      <w:r>
        <w:rPr>
          <w:rFonts w:ascii="Arial" w:cs="Arial" w:eastAsia="Arial" w:hAnsi="Arial"/>
          <w:color w:val="333333"/>
          <w:sz w:val="22"/>
          <w:szCs w:val="22"/>
        </w:rPr>
        <w:t xml:space="preserve">Click 'Apply Now' and complete the online application form.</w:t>
      </w:r>
    </w:p>
    <w:p>
      <w:pPr>
        <w:pStyle w:val="ListParagraph"/>
        <w:numPr>
          <w:ilvl w:val="0"/>
          <w:numId w:val="3"/>
        </w:numPr>
        <w:spacing w:after="40" w:before="40"/>
      </w:pPr>
      <w:r>
        <w:rPr>
          <w:rFonts w:ascii="Arial" w:cs="Arial" w:eastAsia="Arial" w:hAnsi="Arial"/>
          <w:color w:val="333333"/>
          <w:sz w:val="22"/>
          <w:szCs w:val="22"/>
        </w:rPr>
        <w:t xml:space="preserve">Upload required documents in PDF or JPG format (max 5 MB per file).</w:t>
      </w:r>
    </w:p>
    <w:p>
      <w:pPr>
        <w:pStyle w:val="ListParagraph"/>
        <w:numPr>
          <w:ilvl w:val="0"/>
          <w:numId w:val="3"/>
        </w:numPr>
        <w:spacing w:after="40" w:before="40"/>
      </w:pPr>
      <w:r>
        <w:rPr>
          <w:rFonts w:ascii="Arial" w:cs="Arial" w:eastAsia="Arial" w:hAnsi="Arial"/>
          <w:color w:val="333333"/>
          <w:sz w:val="22"/>
          <w:szCs w:val="22"/>
        </w:rPr>
        <w:t xml:space="preserve">Submit the application and note your Application Reference Number (ARN).</w:t>
      </w:r>
    </w:p>
    <w:p>
      <w:pPr>
        <w:pStyle w:val="ListParagraph"/>
        <w:numPr>
          <w:ilvl w:val="0"/>
          <w:numId w:val="3"/>
        </w:numPr>
        <w:spacing w:after="40" w:before="40"/>
      </w:pPr>
      <w:r>
        <w:rPr>
          <w:rFonts w:ascii="Arial" w:cs="Arial" w:eastAsia="Arial" w:hAnsi="Arial"/>
          <w:color w:val="333333"/>
          <w:sz w:val="22"/>
          <w:szCs w:val="22"/>
        </w:rPr>
        <w:t xml:space="preserve">A dedicated Loan Relationship Manager (LRM) will call you within 24 business hours.</w:t>
      </w:r>
    </w:p>
    <w:p>
      <w:pPr>
        <w:spacing w:after="120" w:before="0"/>
      </w:pPr>
      <w:r>
        <w:t xml:space="preserve"/>
      </w:r>
    </w:p>
    <w:p>
      <w:pPr>
        <w:pStyle w:val="Heading3"/>
        <w:spacing w:after="80" w:before="200"/>
      </w:pPr>
      <w:r>
        <w:rPr>
          <w:rFonts w:ascii="Arial" w:cs="Arial" w:eastAsia="Arial" w:hAnsi="Arial"/>
          <w:b/>
          <w:bCs/>
          <w:color w:val="333333"/>
          <w:sz w:val="22"/>
          <w:szCs w:val="22"/>
        </w:rPr>
        <w:t xml:space="preserve">4.1.2 Mobile App Application</w:t>
      </w:r>
    </w:p>
    <w:p>
      <w:pPr>
        <w:pStyle w:val="ListParagraph"/>
        <w:numPr>
          <w:ilvl w:val="0"/>
          <w:numId w:val="3"/>
        </w:numPr>
        <w:spacing w:after="40" w:before="40"/>
      </w:pPr>
      <w:r>
        <w:rPr>
          <w:rFonts w:ascii="Arial" w:cs="Arial" w:eastAsia="Arial" w:hAnsi="Arial"/>
          <w:color w:val="333333"/>
          <w:sz w:val="22"/>
          <w:szCs w:val="22"/>
        </w:rPr>
        <w:t xml:space="preserve">Download the PTB Mobile app (available on Android and iOS).</w:t>
      </w:r>
    </w:p>
    <w:p>
      <w:pPr>
        <w:pStyle w:val="ListParagraph"/>
        <w:numPr>
          <w:ilvl w:val="0"/>
          <w:numId w:val="3"/>
        </w:numPr>
        <w:spacing w:after="40" w:before="40"/>
      </w:pPr>
      <w:r>
        <w:rPr>
          <w:rFonts w:ascii="Arial" w:cs="Arial" w:eastAsia="Arial" w:hAnsi="Arial"/>
          <w:color w:val="333333"/>
          <w:sz w:val="22"/>
          <w:szCs w:val="22"/>
        </w:rPr>
        <w:t xml:space="preserve">Login with your credentials or register using your mobile number.</w:t>
      </w:r>
    </w:p>
    <w:p>
      <w:pPr>
        <w:pStyle w:val="ListParagraph"/>
        <w:numPr>
          <w:ilvl w:val="0"/>
          <w:numId w:val="3"/>
        </w:numPr>
        <w:spacing w:after="40" w:before="40"/>
      </w:pPr>
      <w:r>
        <w:rPr>
          <w:rFonts w:ascii="Arial" w:cs="Arial" w:eastAsia="Arial" w:hAnsi="Arial"/>
          <w:color w:val="333333"/>
          <w:sz w:val="22"/>
          <w:szCs w:val="22"/>
        </w:rPr>
        <w:t xml:space="preserve">Tap 'Apply for a Loan' under the Services menu.</w:t>
      </w:r>
    </w:p>
    <w:p>
      <w:pPr>
        <w:pStyle w:val="ListParagraph"/>
        <w:numPr>
          <w:ilvl w:val="0"/>
          <w:numId w:val="3"/>
        </w:numPr>
        <w:spacing w:after="40" w:before="40"/>
      </w:pPr>
      <w:r>
        <w:rPr>
          <w:rFonts w:ascii="Arial" w:cs="Arial" w:eastAsia="Arial" w:hAnsi="Arial"/>
          <w:color w:val="333333"/>
          <w:sz w:val="22"/>
          <w:szCs w:val="22"/>
        </w:rPr>
        <w:t xml:space="preserve">Follow the on-screen instructions and complete the in-app document upload.</w:t>
      </w:r>
    </w:p>
    <w:p>
      <w:pPr>
        <w:pStyle w:val="ListParagraph"/>
        <w:numPr>
          <w:ilvl w:val="0"/>
          <w:numId w:val="3"/>
        </w:numPr>
        <w:spacing w:after="40" w:before="40"/>
      </w:pPr>
      <w:r>
        <w:rPr>
          <w:rFonts w:ascii="Arial" w:cs="Arial" w:eastAsia="Arial" w:hAnsi="Arial"/>
          <w:color w:val="333333"/>
          <w:sz w:val="22"/>
          <w:szCs w:val="22"/>
        </w:rPr>
        <w:t xml:space="preserve">Track your application status in real-time under 'My Applications'.</w:t>
      </w:r>
    </w:p>
    <w:p>
      <w:pPr>
        <w:spacing w:after="120" w:before="0"/>
      </w:pPr>
      <w:r>
        <w:t xml:space="preserve"/>
      </w:r>
    </w:p>
    <w:p>
      <w:pPr>
        <w:pStyle w:val="Heading3"/>
        <w:spacing w:after="80" w:before="200"/>
      </w:pPr>
      <w:r>
        <w:rPr>
          <w:rFonts w:ascii="Arial" w:cs="Arial" w:eastAsia="Arial" w:hAnsi="Arial"/>
          <w:b/>
          <w:bCs/>
          <w:color w:val="333333"/>
          <w:sz w:val="22"/>
          <w:szCs w:val="22"/>
        </w:rPr>
        <w:t xml:space="preserve">4.1.3 Branch Application</w:t>
      </w:r>
    </w:p>
    <w:p>
      <w:pPr>
        <w:pStyle w:val="ListParagraph"/>
        <w:numPr>
          <w:ilvl w:val="0"/>
          <w:numId w:val="3"/>
        </w:numPr>
        <w:spacing w:after="40" w:before="40"/>
      </w:pPr>
      <w:r>
        <w:rPr>
          <w:rFonts w:ascii="Arial" w:cs="Arial" w:eastAsia="Arial" w:hAnsi="Arial"/>
          <w:color w:val="333333"/>
          <w:sz w:val="22"/>
          <w:szCs w:val="22"/>
        </w:rPr>
        <w:t xml:space="preserve">Visit any PTB branch and collect the Loan Application Form (LAF) from the Help Desk.</w:t>
      </w:r>
    </w:p>
    <w:p>
      <w:pPr>
        <w:pStyle w:val="ListParagraph"/>
        <w:numPr>
          <w:ilvl w:val="0"/>
          <w:numId w:val="3"/>
        </w:numPr>
        <w:spacing w:after="40" w:before="40"/>
      </w:pPr>
      <w:r>
        <w:rPr>
          <w:rFonts w:ascii="Arial" w:cs="Arial" w:eastAsia="Arial" w:hAnsi="Arial"/>
          <w:color w:val="333333"/>
          <w:sz w:val="22"/>
          <w:szCs w:val="22"/>
        </w:rPr>
        <w:t xml:space="preserve">Fill the form completely and accurately in block letters.</w:t>
      </w:r>
    </w:p>
    <w:p>
      <w:pPr>
        <w:pStyle w:val="ListParagraph"/>
        <w:numPr>
          <w:ilvl w:val="0"/>
          <w:numId w:val="3"/>
        </w:numPr>
        <w:spacing w:after="40" w:before="40"/>
      </w:pPr>
      <w:r>
        <w:rPr>
          <w:rFonts w:ascii="Arial" w:cs="Arial" w:eastAsia="Arial" w:hAnsi="Arial"/>
          <w:color w:val="333333"/>
          <w:sz w:val="22"/>
          <w:szCs w:val="22"/>
        </w:rPr>
        <w:t xml:space="preserve">Attach self-attested photocopies of all required documents.</w:t>
      </w:r>
    </w:p>
    <w:p>
      <w:pPr>
        <w:pStyle w:val="ListParagraph"/>
        <w:numPr>
          <w:ilvl w:val="0"/>
          <w:numId w:val="3"/>
        </w:numPr>
        <w:spacing w:after="40" w:before="40"/>
      </w:pPr>
      <w:r>
        <w:rPr>
          <w:rFonts w:ascii="Arial" w:cs="Arial" w:eastAsia="Arial" w:hAnsi="Arial"/>
          <w:color w:val="333333"/>
          <w:sz w:val="22"/>
          <w:szCs w:val="22"/>
        </w:rPr>
        <w:t xml:space="preserve">Submit the form at the Loans Counter along with a processing fee cheque or DD.</w:t>
      </w:r>
    </w:p>
    <w:p>
      <w:pPr>
        <w:pStyle w:val="ListParagraph"/>
        <w:numPr>
          <w:ilvl w:val="0"/>
          <w:numId w:val="3"/>
        </w:numPr>
        <w:spacing w:after="40" w:before="40"/>
      </w:pPr>
      <w:r>
        <w:rPr>
          <w:rFonts w:ascii="Arial" w:cs="Arial" w:eastAsia="Arial" w:hAnsi="Arial"/>
          <w:color w:val="333333"/>
          <w:sz w:val="22"/>
          <w:szCs w:val="22"/>
        </w:rPr>
        <w:t xml:space="preserve">Obtain the acknowledgement receipt with your ARN from the branch officer.</w:t>
      </w:r>
    </w:p>
    <w:p>
      <w:pPr>
        <w:spacing w:after="120" w:before="0"/>
      </w:pPr>
      <w:r>
        <w:t xml:space="preserve"/>
      </w:r>
    </w:p>
    <w:p>
      <w:pPr>
        <w:pStyle w:val="Heading3"/>
        <w:spacing w:after="80" w:before="200"/>
      </w:pPr>
      <w:r>
        <w:rPr>
          <w:rFonts w:ascii="Arial" w:cs="Arial" w:eastAsia="Arial" w:hAnsi="Arial"/>
          <w:b/>
          <w:bCs/>
          <w:color w:val="333333"/>
          <w:sz w:val="22"/>
          <w:szCs w:val="22"/>
        </w:rPr>
        <w:t xml:space="preserve">4.1.4 Phone Application</w:t>
      </w:r>
    </w:p>
    <w:p>
      <w:pPr>
        <w:spacing w:after="80" w:before="60"/>
      </w:pPr>
      <w:r>
        <w:rPr>
          <w:rFonts w:ascii="Arial" w:cs="Arial" w:eastAsia="Arial" w:hAnsi="Arial"/>
          <w:color w:val="333333"/>
          <w:sz w:val="22"/>
          <w:szCs w:val="22"/>
        </w:rPr>
        <w:t xml:space="preserve">Customers can initiate a loan application by calling PTB's 24/7 Customer Service at 1-800-PINNACLE (1-800-746-6225). A customer service representative will guide you through the eligibility check and documentation requirements. A home visit by a PTB representative can be arranged for senior citizens and differently-abled customers upon request.</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4.2 Loan Application Process Flowchart</w:t>
      </w:r>
    </w:p>
    <w:p>
      <w:pPr>
        <w:spacing w:after="80" w:before="60"/>
      </w:pPr>
      <w:r>
        <w:rPr>
          <w:rFonts w:ascii="Arial" w:cs="Arial" w:eastAsia="Arial" w:hAnsi="Arial"/>
          <w:b/>
          <w:bCs/>
          <w:color w:val="333333"/>
          <w:sz w:val="22"/>
          <w:szCs w:val="22"/>
        </w:rPr>
        <w:t xml:space="preserve">The loan processing lifecycle follows these stages: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3260"/>
        <w:gridCol w:w="5060"/>
      </w:tblGrid>
      <w:tr>
        <w:trPr>
          <w:tblHeader/>
        </w:trPr>
        <w:tc>
          <w:tcPr>
            <w:tcW w:type="dxa" w:w="10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5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 &amp; Timelines</w:t>
            </w:r>
          </w:p>
        </w:tc>
      </w:tr>
      <w:tr>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Application Submission</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Customer submits completed application with documents</w:t>
            </w:r>
          </w:p>
        </w:tc>
      </w:tr>
      <w:tr>
        <w:tc>
          <w:tcPr>
            <w:tcW w:type="dxa" w:w="10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3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Preliminary Screening</w:t>
            </w:r>
          </w:p>
        </w:tc>
        <w:tc>
          <w:tcPr>
            <w:tcW w:type="dxa" w:w="50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Basic eligibility check — completed within 4 business hours</w:t>
            </w:r>
          </w:p>
        </w:tc>
      </w:tr>
      <w:tr>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Document Verification</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Physical / digital document authentication — 1–2 business days</w:t>
            </w:r>
          </w:p>
        </w:tc>
      </w:tr>
      <w:tr>
        <w:tc>
          <w:tcPr>
            <w:tcW w:type="dxa" w:w="10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3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Credit Bureau Check</w:t>
            </w:r>
          </w:p>
        </w:tc>
        <w:tc>
          <w:tcPr>
            <w:tcW w:type="dxa" w:w="50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MCB credit report and score pulled — automated, same day</w:t>
            </w:r>
          </w:p>
        </w:tc>
      </w:tr>
      <w:tr>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Internal Credit Appraisal</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Risk team evaluates repayment capacity and debt-to-income ratio — 2–3 business days</w:t>
            </w:r>
          </w:p>
        </w:tc>
      </w:tr>
      <w:tr>
        <w:tc>
          <w:tcPr>
            <w:tcW w:type="dxa" w:w="10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3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Property/Asset Valuation</w:t>
            </w:r>
          </w:p>
        </w:tc>
        <w:tc>
          <w:tcPr>
            <w:tcW w:type="dxa" w:w="50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Required for secured loans — 2–5 business days depending on location</w:t>
            </w:r>
          </w:p>
        </w:tc>
      </w:tr>
      <w:tr>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Credit Committee Review</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 amounts &gt; $100,000, presented to CRC for approval</w:t>
            </w:r>
          </w:p>
        </w:tc>
      </w:tr>
      <w:tr>
        <w:tc>
          <w:tcPr>
            <w:tcW w:type="dxa" w:w="10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3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Sanction Letter Issued</w:t>
            </w:r>
          </w:p>
        </w:tc>
        <w:tc>
          <w:tcPr>
            <w:tcW w:type="dxa" w:w="50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Formal offer detailing terms, conditions, rate, and tenure — sent by email and physical copy</w:t>
            </w:r>
          </w:p>
        </w:tc>
      </w:tr>
      <w:tr>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Customer Acceptance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Customer reviews and signs Loan Agreement within 15 days of sanction</w:t>
            </w:r>
          </w:p>
        </w:tc>
      </w:tr>
      <w:tr>
        <w:tc>
          <w:tcPr>
            <w:tcW w:type="dxa" w:w="10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3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Loan Disbursement</w:t>
            </w:r>
          </w:p>
        </w:tc>
        <w:tc>
          <w:tcPr>
            <w:tcW w:type="dxa" w:w="50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Funds credited within 24–72 hours after agreement execution</w:t>
            </w:r>
          </w:p>
        </w:tc>
      </w:tr>
    </w:tbl>
    <w:p>
      <w:pPr>
        <w:spacing w:after="120" w:before="0"/>
      </w:pPr>
      <w:r>
        <w:t xml:space="preserve"/>
      </w:r>
    </w:p>
    <w:p>
      <w:pPr>
        <w:pStyle w:val="Heading2"/>
        <w:spacing w:after="120" w:before="280"/>
      </w:pPr>
      <w:r>
        <w:rPr>
          <w:rFonts w:ascii="Arial" w:cs="Arial" w:eastAsia="Arial" w:hAnsi="Arial"/>
          <w:b/>
          <w:bCs/>
          <w:color w:val="1B3A6B"/>
          <w:sz w:val="26"/>
          <w:szCs w:val="26"/>
        </w:rPr>
        <w:t xml:space="preserve">4.3 Required Documents for Loan Applications</w:t>
      </w:r>
    </w:p>
    <w:p>
      <w:pPr>
        <w:pStyle w:val="Heading3"/>
        <w:spacing w:after="80" w:before="200"/>
      </w:pPr>
      <w:r>
        <w:rPr>
          <w:rFonts w:ascii="Arial" w:cs="Arial" w:eastAsia="Arial" w:hAnsi="Arial"/>
          <w:b/>
          <w:bCs/>
          <w:color w:val="333333"/>
          <w:sz w:val="22"/>
          <w:szCs w:val="22"/>
        </w:rPr>
        <w:t xml:space="preserve">4.3.1 For Salaried Individuals</w:t>
      </w:r>
    </w:p>
    <w:p>
      <w:pPr>
        <w:pStyle w:val="ListParagraph"/>
        <w:numPr>
          <w:ilvl w:val="0"/>
          <w:numId w:val="2"/>
        </w:numPr>
        <w:spacing w:after="40" w:before="40"/>
      </w:pPr>
      <w:r>
        <w:rPr>
          <w:rFonts w:ascii="Arial" w:cs="Arial" w:eastAsia="Arial" w:hAnsi="Arial"/>
          <w:color w:val="333333"/>
          <w:sz w:val="22"/>
          <w:szCs w:val="22"/>
        </w:rPr>
        <w:t xml:space="preserve">Completed and signed Loan Application Form</w:t>
      </w:r>
    </w:p>
    <w:p>
      <w:pPr>
        <w:pStyle w:val="ListParagraph"/>
        <w:numPr>
          <w:ilvl w:val="0"/>
          <w:numId w:val="2"/>
        </w:numPr>
        <w:spacing w:after="40" w:before="40"/>
      </w:pPr>
      <w:r>
        <w:rPr>
          <w:rFonts w:ascii="Arial" w:cs="Arial" w:eastAsia="Arial" w:hAnsi="Arial"/>
          <w:color w:val="333333"/>
          <w:sz w:val="22"/>
          <w:szCs w:val="22"/>
        </w:rPr>
        <w:t xml:space="preserve">2 recent passport-size photographs</w:t>
      </w:r>
    </w:p>
    <w:p>
      <w:pPr>
        <w:pStyle w:val="ListParagraph"/>
        <w:numPr>
          <w:ilvl w:val="0"/>
          <w:numId w:val="2"/>
        </w:numPr>
        <w:spacing w:after="40" w:before="40"/>
      </w:pPr>
      <w:r>
        <w:rPr>
          <w:rFonts w:ascii="Arial" w:cs="Arial" w:eastAsia="Arial" w:hAnsi="Arial"/>
          <w:color w:val="333333"/>
          <w:sz w:val="22"/>
          <w:szCs w:val="22"/>
        </w:rPr>
        <w:t xml:space="preserve">Identity Proof: Passport / National ID / Driver's License</w:t>
      </w:r>
    </w:p>
    <w:p>
      <w:pPr>
        <w:pStyle w:val="ListParagraph"/>
        <w:numPr>
          <w:ilvl w:val="0"/>
          <w:numId w:val="2"/>
        </w:numPr>
        <w:spacing w:after="40" w:before="40"/>
      </w:pPr>
      <w:r>
        <w:rPr>
          <w:rFonts w:ascii="Arial" w:cs="Arial" w:eastAsia="Arial" w:hAnsi="Arial"/>
          <w:color w:val="333333"/>
          <w:sz w:val="22"/>
          <w:szCs w:val="22"/>
        </w:rPr>
        <w:t xml:space="preserve">Address Proof: Utility bill / Bank statement / Lease Agreement (not older than 3 months)</w:t>
      </w:r>
    </w:p>
    <w:p>
      <w:pPr>
        <w:pStyle w:val="ListParagraph"/>
        <w:numPr>
          <w:ilvl w:val="0"/>
          <w:numId w:val="2"/>
        </w:numPr>
        <w:spacing w:after="40" w:before="40"/>
      </w:pPr>
      <w:r>
        <w:rPr>
          <w:rFonts w:ascii="Arial" w:cs="Arial" w:eastAsia="Arial" w:hAnsi="Arial"/>
          <w:color w:val="333333"/>
          <w:sz w:val="22"/>
          <w:szCs w:val="22"/>
        </w:rPr>
        <w:t xml:space="preserve">Income Proof: Last 3 months' salary slips + Form 16 / Tax Return for last 2 years</w:t>
      </w:r>
    </w:p>
    <w:p>
      <w:pPr>
        <w:pStyle w:val="ListParagraph"/>
        <w:numPr>
          <w:ilvl w:val="0"/>
          <w:numId w:val="2"/>
        </w:numPr>
        <w:spacing w:after="40" w:before="40"/>
      </w:pPr>
      <w:r>
        <w:rPr>
          <w:rFonts w:ascii="Arial" w:cs="Arial" w:eastAsia="Arial" w:hAnsi="Arial"/>
          <w:color w:val="333333"/>
          <w:sz w:val="22"/>
          <w:szCs w:val="22"/>
        </w:rPr>
        <w:t xml:space="preserve">Bank Statements: Last 6 months from all active accounts</w:t>
      </w:r>
    </w:p>
    <w:p>
      <w:pPr>
        <w:pStyle w:val="ListParagraph"/>
        <w:numPr>
          <w:ilvl w:val="0"/>
          <w:numId w:val="2"/>
        </w:numPr>
        <w:spacing w:after="40" w:before="40"/>
      </w:pPr>
      <w:r>
        <w:rPr>
          <w:rFonts w:ascii="Arial" w:cs="Arial" w:eastAsia="Arial" w:hAnsi="Arial"/>
          <w:color w:val="333333"/>
          <w:sz w:val="22"/>
          <w:szCs w:val="22"/>
        </w:rPr>
        <w:t xml:space="preserve">Employment Certificate from current employer (on company letterhead)</w:t>
      </w:r>
    </w:p>
    <w:p>
      <w:pPr>
        <w:pStyle w:val="ListParagraph"/>
        <w:numPr>
          <w:ilvl w:val="0"/>
          <w:numId w:val="2"/>
        </w:numPr>
        <w:spacing w:after="40" w:before="40"/>
      </w:pPr>
      <w:r>
        <w:rPr>
          <w:rFonts w:ascii="Arial" w:cs="Arial" w:eastAsia="Arial" w:hAnsi="Arial"/>
          <w:color w:val="333333"/>
          <w:sz w:val="22"/>
          <w:szCs w:val="22"/>
        </w:rPr>
        <w:t xml:space="preserve">For Home Loans: Sale Agreement, Title Deed, Approved Building Plan, NOC from Builder</w:t>
      </w:r>
    </w:p>
    <w:p>
      <w:pPr>
        <w:spacing w:after="120" w:before="0"/>
      </w:pPr>
      <w:r>
        <w:t xml:space="preserve"/>
      </w:r>
    </w:p>
    <w:p>
      <w:pPr>
        <w:pStyle w:val="Heading3"/>
        <w:spacing w:after="80" w:before="200"/>
      </w:pPr>
      <w:r>
        <w:rPr>
          <w:rFonts w:ascii="Arial" w:cs="Arial" w:eastAsia="Arial" w:hAnsi="Arial"/>
          <w:b/>
          <w:bCs/>
          <w:color w:val="333333"/>
          <w:sz w:val="22"/>
          <w:szCs w:val="22"/>
        </w:rPr>
        <w:t xml:space="preserve">4.3.2 For Self-Employed / Business Owners</w:t>
      </w:r>
    </w:p>
    <w:p>
      <w:pPr>
        <w:pStyle w:val="ListParagraph"/>
        <w:numPr>
          <w:ilvl w:val="0"/>
          <w:numId w:val="2"/>
        </w:numPr>
        <w:spacing w:after="40" w:before="40"/>
      </w:pPr>
      <w:r>
        <w:rPr>
          <w:rFonts w:ascii="Arial" w:cs="Arial" w:eastAsia="Arial" w:hAnsi="Arial"/>
          <w:color w:val="333333"/>
          <w:sz w:val="22"/>
          <w:szCs w:val="22"/>
        </w:rPr>
        <w:t xml:space="preserve">Completed and signed Loan Application Form</w:t>
      </w:r>
    </w:p>
    <w:p>
      <w:pPr>
        <w:pStyle w:val="ListParagraph"/>
        <w:numPr>
          <w:ilvl w:val="0"/>
          <w:numId w:val="2"/>
        </w:numPr>
        <w:spacing w:after="40" w:before="40"/>
      </w:pPr>
      <w:r>
        <w:rPr>
          <w:rFonts w:ascii="Arial" w:cs="Arial" w:eastAsia="Arial" w:hAnsi="Arial"/>
          <w:color w:val="333333"/>
          <w:sz w:val="22"/>
          <w:szCs w:val="22"/>
        </w:rPr>
        <w:t xml:space="preserve">Identity and Address Proof (same as above)</w:t>
      </w:r>
    </w:p>
    <w:p>
      <w:pPr>
        <w:pStyle w:val="ListParagraph"/>
        <w:numPr>
          <w:ilvl w:val="0"/>
          <w:numId w:val="2"/>
        </w:numPr>
        <w:spacing w:after="40" w:before="40"/>
      </w:pPr>
      <w:r>
        <w:rPr>
          <w:rFonts w:ascii="Arial" w:cs="Arial" w:eastAsia="Arial" w:hAnsi="Arial"/>
          <w:color w:val="333333"/>
          <w:sz w:val="22"/>
          <w:szCs w:val="22"/>
        </w:rPr>
        <w:t xml:space="preserve">Business Registration Certificate / Trade License</w:t>
      </w:r>
    </w:p>
    <w:p>
      <w:pPr>
        <w:pStyle w:val="ListParagraph"/>
        <w:numPr>
          <w:ilvl w:val="0"/>
          <w:numId w:val="2"/>
        </w:numPr>
        <w:spacing w:after="40" w:before="40"/>
      </w:pPr>
      <w:r>
        <w:rPr>
          <w:rFonts w:ascii="Arial" w:cs="Arial" w:eastAsia="Arial" w:hAnsi="Arial"/>
          <w:color w:val="333333"/>
          <w:sz w:val="22"/>
          <w:szCs w:val="22"/>
        </w:rPr>
        <w:t xml:space="preserve">Income Tax Returns for the last 3 years (individual and business)</w:t>
      </w:r>
    </w:p>
    <w:p>
      <w:pPr>
        <w:pStyle w:val="ListParagraph"/>
        <w:numPr>
          <w:ilvl w:val="0"/>
          <w:numId w:val="2"/>
        </w:numPr>
        <w:spacing w:after="40" w:before="40"/>
      </w:pPr>
      <w:r>
        <w:rPr>
          <w:rFonts w:ascii="Arial" w:cs="Arial" w:eastAsia="Arial" w:hAnsi="Arial"/>
          <w:color w:val="333333"/>
          <w:sz w:val="22"/>
          <w:szCs w:val="22"/>
        </w:rPr>
        <w:t xml:space="preserve">Audited financial statements (P&amp;L, Balance Sheet) for last 2 years</w:t>
      </w:r>
    </w:p>
    <w:p>
      <w:pPr>
        <w:pStyle w:val="ListParagraph"/>
        <w:numPr>
          <w:ilvl w:val="0"/>
          <w:numId w:val="2"/>
        </w:numPr>
        <w:spacing w:after="40" w:before="40"/>
      </w:pPr>
      <w:r>
        <w:rPr>
          <w:rFonts w:ascii="Arial" w:cs="Arial" w:eastAsia="Arial" w:hAnsi="Arial"/>
          <w:color w:val="333333"/>
          <w:sz w:val="22"/>
          <w:szCs w:val="22"/>
        </w:rPr>
        <w:t xml:space="preserve">Bank Statements: Last 12 months from business and personal accounts</w:t>
      </w:r>
    </w:p>
    <w:p>
      <w:pPr>
        <w:pStyle w:val="ListParagraph"/>
        <w:numPr>
          <w:ilvl w:val="0"/>
          <w:numId w:val="2"/>
        </w:numPr>
        <w:spacing w:after="40" w:before="40"/>
      </w:pPr>
      <w:r>
        <w:rPr>
          <w:rFonts w:ascii="Arial" w:cs="Arial" w:eastAsia="Arial" w:hAnsi="Arial"/>
          <w:color w:val="333333"/>
          <w:sz w:val="22"/>
          <w:szCs w:val="22"/>
        </w:rPr>
        <w:t xml:space="preserve">GST Registration Certificate and last 12 months' GST returns (if applicable)</w:t>
      </w:r>
    </w:p>
    <w:p>
      <w:pPr>
        <w:pStyle w:val="ListParagraph"/>
        <w:numPr>
          <w:ilvl w:val="0"/>
          <w:numId w:val="2"/>
        </w:numPr>
        <w:spacing w:after="40" w:before="40"/>
      </w:pPr>
      <w:r>
        <w:rPr>
          <w:rFonts w:ascii="Arial" w:cs="Arial" w:eastAsia="Arial" w:hAnsi="Arial"/>
          <w:color w:val="333333"/>
          <w:sz w:val="22"/>
          <w:szCs w:val="22"/>
        </w:rPr>
        <w:t xml:space="preserve">Business Proof: Partnership Deed / MOA / AOA / Board Resolution</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4.4 Processing Fees and Charges</w:t>
      </w:r>
    </w:p>
    <w:p>
      <w:pPr>
        <w:spacing w:after="80" w:before="60"/>
      </w:pPr>
      <w:r>
        <w:rPr>
          <w:rFonts w:ascii="Arial" w:cs="Arial" w:eastAsia="Arial" w:hAnsi="Arial"/>
          <w:color w:val="333333"/>
          <w:sz w:val="22"/>
          <w:szCs w:val="22"/>
        </w:rPr>
        <w:t xml:space="preserve">The following charges are applicable at the time of loan processing. These fees are non-refundable once the verification process has commenced, except in cases where PTB declines the application.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Charge Type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3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When Applicable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Processing Fee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0.5% – 2% of loan amount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 application submission</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Documentation Charges</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$50 – $200</w:t>
            </w:r>
          </w:p>
        </w:tc>
        <w:tc>
          <w:tcPr>
            <w:tcW w:type="dxa" w:w="3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On sanction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Legal &amp; Valuation Fee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 – $1,000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 secured loans only</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Stamp Duty</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As per state regulations</w:t>
            </w:r>
          </w:p>
        </w:tc>
        <w:tc>
          <w:tcPr>
            <w:tcW w:type="dxa" w:w="3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At agreement execution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CIBIC/MCB Report Fee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Included in processing fee</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Late Payment Penalty</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2% p.m. on overdue EMI amount</w:t>
            </w:r>
          </w:p>
        </w:tc>
        <w:tc>
          <w:tcPr>
            <w:tcW w:type="dxa" w:w="3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If EMI is overdue beyond 7 days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Cheque Bounce / ECS Return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 per instance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 each occurrence</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Loan Cancellation Post Sanction</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1% of sanctioned amount (min $100)</w:t>
            </w:r>
          </w:p>
        </w:tc>
        <w:tc>
          <w:tcPr>
            <w:tcW w:type="dxa" w:w="3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If cancelled within 30 days of sanction</w:t>
            </w:r>
          </w:p>
        </w:tc>
      </w:tr>
    </w:tbl>
    <w:p>
      <w:pPr>
        <w:spacing w:after="120" w:before="0"/>
      </w:pPr>
      <w:r>
        <w:t xml:space="preserve"/>
      </w:r>
    </w:p>
    <w:p>
      <w:pPr>
        <w:pStyle w:val="Heading2"/>
        <w:spacing w:after="120" w:before="280"/>
      </w:pPr>
      <w:r>
        <w:rPr>
          <w:rFonts w:ascii="Arial" w:cs="Arial" w:eastAsia="Arial" w:hAnsi="Arial"/>
          <w:b/>
          <w:bCs/>
          <w:color w:val="1B3A6B"/>
          <w:sz w:val="26"/>
          <w:szCs w:val="26"/>
        </w:rPr>
        <w:t xml:space="preserve">4.5 Loan Repayment</w:t>
      </w:r>
    </w:p>
    <w:p>
      <w:pPr>
        <w:spacing w:after="80" w:before="60"/>
      </w:pPr>
      <w:r>
        <w:rPr>
          <w:rFonts w:ascii="Arial" w:cs="Arial" w:eastAsia="Arial" w:hAnsi="Arial"/>
          <w:color w:val="333333"/>
          <w:sz w:val="22"/>
          <w:szCs w:val="22"/>
        </w:rPr>
        <w:t xml:space="preserve">All loan repayments are made through Equated Monthly Installments (EMIs) debited automatically from the borrower's designated PTB account via an Electronic Clearing Service (ECS) mandate. Customers may also opt for post-dated cheques (PDCs) in exceptional circumstances with prior approval.</w:t>
      </w:r>
    </w:p>
    <w:p>
      <w:pPr>
        <w:spacing w:after="120" w:before="0"/>
      </w:pPr>
      <w:r>
        <w:t xml:space="preserve"/>
      </w:r>
    </w:p>
    <w:p>
      <w:pPr>
        <w:pStyle w:val="Heading3"/>
        <w:spacing w:after="80" w:before="200"/>
      </w:pPr>
      <w:r>
        <w:rPr>
          <w:rFonts w:ascii="Arial" w:cs="Arial" w:eastAsia="Arial" w:hAnsi="Arial"/>
          <w:b/>
          <w:bCs/>
          <w:color w:val="333333"/>
          <w:sz w:val="22"/>
          <w:szCs w:val="22"/>
        </w:rPr>
        <w:t xml:space="preserve">4.5.1 Repayment Options</w:t>
      </w:r>
    </w:p>
    <w:p>
      <w:pPr>
        <w:pStyle w:val="ListParagraph"/>
        <w:numPr>
          <w:ilvl w:val="0"/>
          <w:numId w:val="2"/>
        </w:numPr>
        <w:spacing w:after="40" w:before="40"/>
      </w:pPr>
      <w:r>
        <w:rPr>
          <w:rFonts w:ascii="Arial" w:cs="Arial" w:eastAsia="Arial" w:hAnsi="Arial"/>
          <w:color w:val="333333"/>
          <w:sz w:val="22"/>
          <w:szCs w:val="22"/>
        </w:rPr>
        <w:t xml:space="preserve">Auto-debit from PTB Account (recommended — no manual intervention needed)</w:t>
      </w:r>
    </w:p>
    <w:p>
      <w:pPr>
        <w:pStyle w:val="ListParagraph"/>
        <w:numPr>
          <w:ilvl w:val="0"/>
          <w:numId w:val="2"/>
        </w:numPr>
        <w:spacing w:after="40" w:before="40"/>
      </w:pPr>
      <w:r>
        <w:rPr>
          <w:rFonts w:ascii="Arial" w:cs="Arial" w:eastAsia="Arial" w:hAnsi="Arial"/>
          <w:color w:val="333333"/>
          <w:sz w:val="22"/>
          <w:szCs w:val="22"/>
        </w:rPr>
        <w:t xml:space="preserve">NEFT/RTGS transfer from any bank account to PTB loan account</w:t>
      </w:r>
    </w:p>
    <w:p>
      <w:pPr>
        <w:pStyle w:val="ListParagraph"/>
        <w:numPr>
          <w:ilvl w:val="0"/>
          <w:numId w:val="2"/>
        </w:numPr>
        <w:spacing w:after="40" w:before="40"/>
      </w:pPr>
      <w:r>
        <w:rPr>
          <w:rFonts w:ascii="Arial" w:cs="Arial" w:eastAsia="Arial" w:hAnsi="Arial"/>
          <w:color w:val="333333"/>
          <w:sz w:val="22"/>
          <w:szCs w:val="22"/>
        </w:rPr>
        <w:t xml:space="preserve">Online payment via PTB Internet Banking or Mobile App</w:t>
      </w:r>
    </w:p>
    <w:p>
      <w:pPr>
        <w:pStyle w:val="ListParagraph"/>
        <w:numPr>
          <w:ilvl w:val="0"/>
          <w:numId w:val="2"/>
        </w:numPr>
        <w:spacing w:after="40" w:before="40"/>
      </w:pPr>
      <w:r>
        <w:rPr>
          <w:rFonts w:ascii="Arial" w:cs="Arial" w:eastAsia="Arial" w:hAnsi="Arial"/>
          <w:color w:val="333333"/>
          <w:sz w:val="22"/>
          <w:szCs w:val="22"/>
        </w:rPr>
        <w:t xml:space="preserve">Cash payment at any PTB branch (for amounts up to $5,000 per transaction)</w:t>
      </w:r>
    </w:p>
    <w:p>
      <w:pPr>
        <w:pStyle w:val="ListParagraph"/>
        <w:numPr>
          <w:ilvl w:val="0"/>
          <w:numId w:val="2"/>
        </w:numPr>
        <w:spacing w:after="40" w:before="40"/>
      </w:pPr>
      <w:r>
        <w:rPr>
          <w:rFonts w:ascii="Arial" w:cs="Arial" w:eastAsia="Arial" w:hAnsi="Arial"/>
          <w:color w:val="333333"/>
          <w:sz w:val="22"/>
          <w:szCs w:val="22"/>
        </w:rPr>
        <w:t xml:space="preserve">PTB Cash Deposit Machines available 24/7 at select branches</w:t>
      </w:r>
    </w:p>
    <w:p>
      <w:pPr>
        <w:spacing w:after="120" w:before="0"/>
      </w:pPr>
      <w:r>
        <w:t xml:space="preserve"/>
      </w:r>
    </w:p>
    <w:p>
      <w:pPr>
        <w:pStyle w:val="Heading3"/>
        <w:spacing w:after="80" w:before="200"/>
      </w:pPr>
      <w:r>
        <w:rPr>
          <w:rFonts w:ascii="Arial" w:cs="Arial" w:eastAsia="Arial" w:hAnsi="Arial"/>
          <w:b/>
          <w:bCs/>
          <w:color w:val="333333"/>
          <w:sz w:val="22"/>
          <w:szCs w:val="22"/>
        </w:rPr>
        <w:t xml:space="preserve">4.5.2 Prepayment and Foreclosure</w:t>
      </w:r>
    </w:p>
    <w:p>
      <w:pPr>
        <w:spacing w:after="80" w:before="60"/>
      </w:pPr>
      <w:r>
        <w:rPr>
          <w:rFonts w:ascii="Arial" w:cs="Arial" w:eastAsia="Arial" w:hAnsi="Arial"/>
          <w:color w:val="333333"/>
          <w:sz w:val="22"/>
          <w:szCs w:val="22"/>
        </w:rPr>
        <w:t xml:space="preserve">Customers can prepay their loan in full or in part after the minimum lock-in period. Part prepayment reduces either the EMI amount or the remaining tenure (at customer's discretion). Foreclosure requests must be submitted in writing or through internet banking at least 7 working days in advance. The outstanding balance includes principal, accrued interest up to the foreclosure date, and applicable foreclosure charges as outlined in Section 3.</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4.6 Loan Decline and Re-application</w:t>
      </w:r>
    </w:p>
    <w:p>
      <w:pPr>
        <w:spacing w:after="80" w:before="60"/>
      </w:pPr>
      <w:r>
        <w:rPr>
          <w:rFonts w:ascii="Arial" w:cs="Arial" w:eastAsia="Arial" w:hAnsi="Arial"/>
          <w:color w:val="333333"/>
          <w:sz w:val="22"/>
          <w:szCs w:val="22"/>
        </w:rPr>
        <w:t xml:space="preserve">If a loan application is declined, PTB will communicate the reason in writing within 5 business days of the decision. Common reasons for decline include insufficient income, low credit score, incomplete documentation, or adverse credit history. Customers may re-apply after addressing the stated reasons. A fresh credit bureau inquiry will be initiated for the new application. Customers are advised to wait a minimum of 90 days before re-applying to avoid further adverse impact on their credit score.</w:t>
      </w:r>
    </w:p>
    <w:p>
      <w:r>
        <w:br w:type="page"/>
      </w:r>
    </w:p>
    <w:p>
      <w:pPr>
        <w:pStyle w:val="Heading1"/>
        <w:pBdr>
          <w:bottom w:val="single" w:color="1B3A6B" w:sz="6" w:space="6"/>
        </w:pBdr>
        <w:spacing w:after="180" w:before="360"/>
      </w:pPr>
      <w:r>
        <w:rPr>
          <w:rFonts w:ascii="Arial" w:cs="Arial" w:eastAsia="Arial" w:hAnsi="Arial"/>
          <w:b/>
          <w:bCs/>
          <w:color w:val="1B3A6B"/>
          <w:sz w:val="32"/>
          <w:szCs w:val="32"/>
        </w:rPr>
        <w:t xml:space="preserve">5. Interest Rates on Deposits</w:t>
      </w:r>
    </w:p>
    <w:p>
      <w:pPr>
        <w:spacing w:after="80" w:before="60"/>
      </w:pPr>
      <w:r>
        <w:rPr>
          <w:rFonts w:ascii="Arial" w:cs="Arial" w:eastAsia="Arial" w:hAnsi="Arial"/>
          <w:color w:val="333333"/>
          <w:sz w:val="22"/>
          <w:szCs w:val="22"/>
        </w:rPr>
        <w:t xml:space="preserve">The following interest rates are effective from January 1, 2025. Rates are subject to revision by PTB's Asset Liability Management Committee (ALCO) and will be published on the bank's website and at all branch notice boards.</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5.1 Savings Account Interest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Daily Balance</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Interest Rate (p.a.)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 to $50,000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3.50%</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$50,001 – $500,000</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4.00%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Above $500,000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4.50%</w:t>
            </w:r>
          </w:p>
        </w:tc>
      </w:tr>
    </w:tbl>
    <w:p>
      <w:pPr>
        <w:spacing w:after="120" w:before="0"/>
      </w:pPr>
      <w:r>
        <w:t xml:space="preserve"/>
      </w:r>
    </w:p>
    <w:p>
      <w:pPr>
        <w:pStyle w:val="Heading2"/>
        <w:spacing w:after="120" w:before="280"/>
      </w:pPr>
      <w:r>
        <w:rPr>
          <w:rFonts w:ascii="Arial" w:cs="Arial" w:eastAsia="Arial" w:hAnsi="Arial"/>
          <w:b/>
          <w:bCs/>
          <w:color w:val="1B3A6B"/>
          <w:sz w:val="26"/>
          <w:szCs w:val="26"/>
        </w:rPr>
        <w:t xml:space="preserve">5.2 Fixed Deposit Interest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Tenure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General (% p.a.)</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Senior Citizens (% p.a.)</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NRE/NRO (% p.a.)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 – 30 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31 – 90 days</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5.00%</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5.50%</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N/A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91 – 180 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5.75%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5.75%</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181 – 364 days</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6.25%</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6.75%</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6.25%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year – 2 years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7.00%</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2 years – 3 years</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7.25%</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7.75%</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7.25%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years – 5 years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7.00%</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Above 5 years</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6.75%</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7.25%</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6.75%</w:t>
            </w:r>
          </w:p>
        </w:tc>
      </w:tr>
    </w:tbl>
    <w:p>
      <w:pPr>
        <w:spacing w:after="120" w:before="0"/>
      </w:pPr>
      <w:r>
        <w:t xml:space="preserve"/>
      </w:r>
    </w:p>
    <w:p>
      <w:pPr>
        <w:spacing w:after="80" w:before="60"/>
      </w:pPr>
      <w:r>
        <w:rPr>
          <w:rFonts w:ascii="Arial" w:cs="Arial" w:eastAsia="Arial" w:hAnsi="Arial"/>
          <w:color w:val="333333"/>
          <w:sz w:val="22"/>
          <w:szCs w:val="22"/>
        </w:rPr>
        <w:t xml:space="preserve">Note: Senior citizens (age 60+) receive an additional 0.50% p.a. on all tenures. PTB 'Super Senior Citizens' (age 80+) receive an additional 0.75% p.a. Interest is compounded quarterly for domestic FDs and annually for NRE FDs.</w:t>
      </w:r>
    </w:p>
    <w:p>
      <w:r>
        <w:br w:type="page"/>
      </w:r>
    </w:p>
    <w:p>
      <w:pPr>
        <w:pStyle w:val="Heading1"/>
        <w:pBdr>
          <w:bottom w:val="single" w:color="1B3A6B" w:sz="6" w:space="6"/>
        </w:pBdr>
        <w:spacing w:after="180" w:before="360"/>
      </w:pPr>
      <w:r>
        <w:rPr>
          <w:rFonts w:ascii="Arial" w:cs="Arial" w:eastAsia="Arial" w:hAnsi="Arial"/>
          <w:b/>
          <w:bCs/>
          <w:color w:val="1B3A6B"/>
          <w:sz w:val="32"/>
          <w:szCs w:val="32"/>
        </w:rPr>
        <w:t xml:space="preserve">6. Digital Banking Policies</w:t>
      </w:r>
    </w:p>
    <w:p>
      <w:pPr>
        <w:spacing w:after="80" w:before="60"/>
      </w:pPr>
      <w:r>
        <w:rPr>
          <w:rFonts w:ascii="Arial" w:cs="Arial" w:eastAsia="Arial" w:hAnsi="Arial"/>
          <w:color w:val="333333"/>
          <w:sz w:val="22"/>
          <w:szCs w:val="22"/>
        </w:rPr>
        <w:t xml:space="preserve">PTB's digital banking platforms include the PTB Mobile App, PTB Internet Banking Portal, and UPI-linked services. These platforms are available 24/7 and are protected by multi-factor authentication and 256-bit SSL encryption.</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6.1 PTB Mobile App Features</w:t>
      </w:r>
    </w:p>
    <w:p>
      <w:pPr>
        <w:pStyle w:val="ListParagraph"/>
        <w:numPr>
          <w:ilvl w:val="0"/>
          <w:numId w:val="2"/>
        </w:numPr>
        <w:spacing w:after="40" w:before="40"/>
      </w:pPr>
      <w:r>
        <w:rPr>
          <w:rFonts w:ascii="Arial" w:cs="Arial" w:eastAsia="Arial" w:hAnsi="Arial"/>
          <w:color w:val="333333"/>
          <w:sz w:val="22"/>
          <w:szCs w:val="22"/>
        </w:rPr>
        <w:t xml:space="preserve">Account balance inquiry and mini statement</w:t>
      </w:r>
    </w:p>
    <w:p>
      <w:pPr>
        <w:pStyle w:val="ListParagraph"/>
        <w:numPr>
          <w:ilvl w:val="0"/>
          <w:numId w:val="2"/>
        </w:numPr>
        <w:spacing w:after="40" w:before="40"/>
      </w:pPr>
      <w:r>
        <w:rPr>
          <w:rFonts w:ascii="Arial" w:cs="Arial" w:eastAsia="Arial" w:hAnsi="Arial"/>
          <w:color w:val="333333"/>
          <w:sz w:val="22"/>
          <w:szCs w:val="22"/>
        </w:rPr>
        <w:t xml:space="preserve">Fund transfer: IMPS (instant), NEFT (within 2 hours), RTGS (same day above $200,000)</w:t>
      </w:r>
    </w:p>
    <w:p>
      <w:pPr>
        <w:pStyle w:val="ListParagraph"/>
        <w:numPr>
          <w:ilvl w:val="0"/>
          <w:numId w:val="2"/>
        </w:numPr>
        <w:spacing w:after="40" w:before="40"/>
      </w:pPr>
      <w:r>
        <w:rPr>
          <w:rFonts w:ascii="Arial" w:cs="Arial" w:eastAsia="Arial" w:hAnsi="Arial"/>
          <w:color w:val="333333"/>
          <w:sz w:val="22"/>
          <w:szCs w:val="22"/>
        </w:rPr>
        <w:t xml:space="preserve">UPI payments and QR code scanning</w:t>
      </w:r>
    </w:p>
    <w:p>
      <w:pPr>
        <w:pStyle w:val="ListParagraph"/>
        <w:numPr>
          <w:ilvl w:val="0"/>
          <w:numId w:val="2"/>
        </w:numPr>
        <w:spacing w:after="40" w:before="40"/>
      </w:pPr>
      <w:r>
        <w:rPr>
          <w:rFonts w:ascii="Arial" w:cs="Arial" w:eastAsia="Arial" w:hAnsi="Arial"/>
          <w:color w:val="333333"/>
          <w:sz w:val="22"/>
          <w:szCs w:val="22"/>
        </w:rPr>
        <w:t xml:space="preserve">Bill payments: Electricity, water, gas, internet, mobile recharge</w:t>
      </w:r>
    </w:p>
    <w:p>
      <w:pPr>
        <w:pStyle w:val="ListParagraph"/>
        <w:numPr>
          <w:ilvl w:val="0"/>
          <w:numId w:val="2"/>
        </w:numPr>
        <w:spacing w:after="40" w:before="40"/>
      </w:pPr>
      <w:r>
        <w:rPr>
          <w:rFonts w:ascii="Arial" w:cs="Arial" w:eastAsia="Arial" w:hAnsi="Arial"/>
          <w:color w:val="333333"/>
          <w:sz w:val="22"/>
          <w:szCs w:val="22"/>
        </w:rPr>
        <w:t xml:space="preserve">FD and RD opening and renewal</w:t>
      </w:r>
    </w:p>
    <w:p>
      <w:pPr>
        <w:pStyle w:val="ListParagraph"/>
        <w:numPr>
          <w:ilvl w:val="0"/>
          <w:numId w:val="2"/>
        </w:numPr>
        <w:spacing w:after="40" w:before="40"/>
      </w:pPr>
      <w:r>
        <w:rPr>
          <w:rFonts w:ascii="Arial" w:cs="Arial" w:eastAsia="Arial" w:hAnsi="Arial"/>
          <w:color w:val="333333"/>
          <w:sz w:val="22"/>
          <w:szCs w:val="22"/>
        </w:rPr>
        <w:t xml:space="preserve">Loan application, tracking, and EMI payment</w:t>
      </w:r>
    </w:p>
    <w:p>
      <w:pPr>
        <w:pStyle w:val="ListParagraph"/>
        <w:numPr>
          <w:ilvl w:val="0"/>
          <w:numId w:val="2"/>
        </w:numPr>
        <w:spacing w:after="40" w:before="40"/>
      </w:pPr>
      <w:r>
        <w:rPr>
          <w:rFonts w:ascii="Arial" w:cs="Arial" w:eastAsia="Arial" w:hAnsi="Arial"/>
          <w:color w:val="333333"/>
          <w:sz w:val="22"/>
          <w:szCs w:val="22"/>
        </w:rPr>
        <w:t xml:space="preserve">Credit card management: Statement, payment, limit enhancement request</w:t>
      </w:r>
    </w:p>
    <w:p>
      <w:pPr>
        <w:pStyle w:val="ListParagraph"/>
        <w:numPr>
          <w:ilvl w:val="0"/>
          <w:numId w:val="2"/>
        </w:numPr>
        <w:spacing w:after="40" w:before="40"/>
      </w:pPr>
      <w:r>
        <w:rPr>
          <w:rFonts w:ascii="Arial" w:cs="Arial" w:eastAsia="Arial" w:hAnsi="Arial"/>
          <w:color w:val="333333"/>
          <w:sz w:val="22"/>
          <w:szCs w:val="22"/>
        </w:rPr>
        <w:t xml:space="preserve">Investment: Mutual fund SIP setup, FD booking</w:t>
      </w:r>
    </w:p>
    <w:p>
      <w:pPr>
        <w:pStyle w:val="ListParagraph"/>
        <w:numPr>
          <w:ilvl w:val="0"/>
          <w:numId w:val="2"/>
        </w:numPr>
        <w:spacing w:after="40" w:before="40"/>
      </w:pPr>
      <w:r>
        <w:rPr>
          <w:rFonts w:ascii="Arial" w:cs="Arial" w:eastAsia="Arial" w:hAnsi="Arial"/>
          <w:color w:val="333333"/>
          <w:sz w:val="22"/>
          <w:szCs w:val="22"/>
        </w:rPr>
        <w:t xml:space="preserve">Cheque book request and stop payment</w:t>
      </w:r>
    </w:p>
    <w:p>
      <w:pPr>
        <w:pStyle w:val="ListParagraph"/>
        <w:numPr>
          <w:ilvl w:val="0"/>
          <w:numId w:val="2"/>
        </w:numPr>
        <w:spacing w:after="40" w:before="40"/>
      </w:pPr>
      <w:r>
        <w:rPr>
          <w:rFonts w:ascii="Arial" w:cs="Arial" w:eastAsia="Arial" w:hAnsi="Arial"/>
          <w:color w:val="333333"/>
          <w:sz w:val="22"/>
          <w:szCs w:val="22"/>
        </w:rPr>
        <w:t xml:space="preserve">24/7 AI-powered chat support (PTB SmartAssist)</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6.2 Transaction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Transaction Type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Per Transaction Limit</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Daily Limit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$500,000</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NEFT</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$1,000,000</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$2,000,000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RTGS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 $200,000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$5,000,000</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UPI</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$10,000</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$100,000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ATM Cash Withdrawal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$5,000</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Debit Card POS</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$10,000</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$50,000</w:t>
            </w:r>
          </w:p>
        </w:tc>
      </w:tr>
    </w:tbl>
    <w:p>
      <w:pPr>
        <w:spacing w:after="120" w:before="0"/>
      </w:pPr>
      <w:r>
        <w:t xml:space="preserve"/>
      </w:r>
    </w:p>
    <w:p>
      <w:pPr>
        <w:pStyle w:val="Heading2"/>
        <w:spacing w:after="120" w:before="280"/>
      </w:pPr>
      <w:r>
        <w:rPr>
          <w:rFonts w:ascii="Arial" w:cs="Arial" w:eastAsia="Arial" w:hAnsi="Arial"/>
          <w:b/>
          <w:bCs/>
          <w:color w:val="1B3A6B"/>
          <w:sz w:val="26"/>
          <w:szCs w:val="26"/>
        </w:rPr>
        <w:t xml:space="preserve">6.3 Security Policy</w:t>
      </w:r>
    </w:p>
    <w:p>
      <w:pPr>
        <w:spacing w:after="80" w:before="60"/>
      </w:pPr>
      <w:r>
        <w:rPr>
          <w:rFonts w:ascii="Arial" w:cs="Arial" w:eastAsia="Arial" w:hAnsi="Arial"/>
          <w:color w:val="333333"/>
          <w:sz w:val="22"/>
          <w:szCs w:val="22"/>
        </w:rPr>
        <w:t xml:space="preserve">PTB will NEVER ask customers for their PIN, OTP, internet banking password, or CVV through phone calls, emails, or SMS. Customers are advised to:</w:t>
      </w:r>
    </w:p>
    <w:p>
      <w:pPr>
        <w:pStyle w:val="ListParagraph"/>
        <w:numPr>
          <w:ilvl w:val="0"/>
          <w:numId w:val="2"/>
        </w:numPr>
        <w:spacing w:after="40" w:before="40"/>
      </w:pPr>
      <w:r>
        <w:rPr>
          <w:rFonts w:ascii="Arial" w:cs="Arial" w:eastAsia="Arial" w:hAnsi="Arial"/>
          <w:color w:val="333333"/>
          <w:sz w:val="22"/>
          <w:szCs w:val="22"/>
        </w:rPr>
        <w:t xml:space="preserve">Never share OTPs, PINs, or passwords with anyone including PTB employees.</w:t>
      </w:r>
    </w:p>
    <w:p>
      <w:pPr>
        <w:pStyle w:val="ListParagraph"/>
        <w:numPr>
          <w:ilvl w:val="0"/>
          <w:numId w:val="2"/>
        </w:numPr>
        <w:spacing w:after="40" w:before="40"/>
      </w:pPr>
      <w:r>
        <w:rPr>
          <w:rFonts w:ascii="Arial" w:cs="Arial" w:eastAsia="Arial" w:hAnsi="Arial"/>
          <w:color w:val="333333"/>
          <w:sz w:val="22"/>
          <w:szCs w:val="22"/>
        </w:rPr>
        <w:t xml:space="preserve">Enable transaction alerts for all debit/credit activities on their accounts.</w:t>
      </w:r>
    </w:p>
    <w:p>
      <w:pPr>
        <w:pStyle w:val="ListParagraph"/>
        <w:numPr>
          <w:ilvl w:val="0"/>
          <w:numId w:val="2"/>
        </w:numPr>
        <w:spacing w:after="40" w:before="40"/>
      </w:pPr>
      <w:r>
        <w:rPr>
          <w:rFonts w:ascii="Arial" w:cs="Arial" w:eastAsia="Arial" w:hAnsi="Arial"/>
          <w:color w:val="333333"/>
          <w:sz w:val="22"/>
          <w:szCs w:val="22"/>
        </w:rPr>
        <w:t xml:space="preserve">Use biometric authentication (fingerprint/face unlock) on the PTB mobile app.</w:t>
      </w:r>
    </w:p>
    <w:p>
      <w:pPr>
        <w:pStyle w:val="ListParagraph"/>
        <w:numPr>
          <w:ilvl w:val="0"/>
          <w:numId w:val="2"/>
        </w:numPr>
        <w:spacing w:after="40" w:before="40"/>
      </w:pPr>
      <w:r>
        <w:rPr>
          <w:rFonts w:ascii="Arial" w:cs="Arial" w:eastAsia="Arial" w:hAnsi="Arial"/>
          <w:color w:val="333333"/>
          <w:sz w:val="22"/>
          <w:szCs w:val="22"/>
        </w:rPr>
        <w:t xml:space="preserve">Register complaints immediately on detection of unauthorized transactions.</w:t>
      </w:r>
    </w:p>
    <w:p>
      <w:pPr>
        <w:pStyle w:val="ListParagraph"/>
        <w:numPr>
          <w:ilvl w:val="0"/>
          <w:numId w:val="2"/>
        </w:numPr>
        <w:spacing w:after="40" w:before="40"/>
      </w:pPr>
      <w:r>
        <w:rPr>
          <w:rFonts w:ascii="Arial" w:cs="Arial" w:eastAsia="Arial" w:hAnsi="Arial"/>
          <w:color w:val="333333"/>
          <w:sz w:val="22"/>
          <w:szCs w:val="22"/>
        </w:rPr>
        <w:t xml:space="preserve">Set a strong internet banking password and change it every 90 days.</w:t>
      </w:r>
    </w:p>
    <w:p>
      <w:pPr>
        <w:spacing w:after="120" w:before="0"/>
      </w:pPr>
      <w:r>
        <w:t xml:space="preserve"/>
      </w:r>
    </w:p>
    <w:p>
      <w:pPr>
        <w:spacing w:after="80" w:before="60"/>
      </w:pPr>
      <w:r>
        <w:rPr>
          <w:rFonts w:ascii="Arial" w:cs="Arial" w:eastAsia="Arial" w:hAnsi="Arial"/>
          <w:color w:val="333333"/>
          <w:sz w:val="22"/>
          <w:szCs w:val="22"/>
        </w:rPr>
        <w:t xml:space="preserve">In the event of suspected fraud or unauthorized access, customers should immediately call PTB's Fraud Hotline: 1-800-PTB-SAFE (1-800-782-7233) or block their account via the app or internet banking.</w:t>
      </w:r>
    </w:p>
    <w:p>
      <w:r>
        <w:br w:type="page"/>
      </w:r>
    </w:p>
    <w:p>
      <w:pPr>
        <w:pStyle w:val="Heading1"/>
        <w:pBdr>
          <w:bottom w:val="single" w:color="1B3A6B" w:sz="6" w:space="6"/>
        </w:pBdr>
        <w:spacing w:after="180" w:before="360"/>
      </w:pPr>
      <w:r>
        <w:rPr>
          <w:rFonts w:ascii="Arial" w:cs="Arial" w:eastAsia="Arial" w:hAnsi="Arial"/>
          <w:b/>
          <w:bCs/>
          <w:color w:val="1B3A6B"/>
          <w:sz w:val="32"/>
          <w:szCs w:val="32"/>
        </w:rPr>
        <w:t xml:space="preserve">7. Grievance Redressal Policy</w:t>
      </w:r>
    </w:p>
    <w:p>
      <w:pPr>
        <w:spacing w:after="80" w:before="60"/>
      </w:pPr>
      <w:r>
        <w:rPr>
          <w:rFonts w:ascii="Arial" w:cs="Arial" w:eastAsia="Arial" w:hAnsi="Arial"/>
          <w:color w:val="333333"/>
          <w:sz w:val="22"/>
          <w:szCs w:val="22"/>
        </w:rPr>
        <w:t xml:space="preserve">PTB is committed to resolving customer grievances in a prompt, fair, and courteous manner. The bank has a three-tier grievance redressal mechanism designed to escalate unresolved issues efficiently.</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7.1 Level 1: Branch / Channel Resolution</w:t>
      </w:r>
    </w:p>
    <w:p>
      <w:pPr>
        <w:spacing w:after="80" w:before="60"/>
      </w:pPr>
      <w:r>
        <w:rPr>
          <w:rFonts w:ascii="Arial" w:cs="Arial" w:eastAsia="Arial" w:hAnsi="Arial"/>
          <w:color w:val="333333"/>
          <w:sz w:val="22"/>
          <w:szCs w:val="22"/>
        </w:rPr>
        <w:t xml:space="preserve">Customers should first raise their complaint at the branch where they hold their account, or through the following channels:</w:t>
      </w:r>
    </w:p>
    <w:p>
      <w:pPr>
        <w:pStyle w:val="ListParagraph"/>
        <w:numPr>
          <w:ilvl w:val="0"/>
          <w:numId w:val="2"/>
        </w:numPr>
        <w:spacing w:after="40" w:before="40"/>
      </w:pPr>
      <w:r>
        <w:rPr>
          <w:rFonts w:ascii="Arial" w:cs="Arial" w:eastAsia="Arial" w:hAnsi="Arial"/>
          <w:color w:val="333333"/>
          <w:sz w:val="22"/>
          <w:szCs w:val="22"/>
        </w:rPr>
        <w:t xml:space="preserve">In-person: At the Help Desk of any PTB branch</w:t>
      </w:r>
    </w:p>
    <w:p>
      <w:pPr>
        <w:pStyle w:val="ListParagraph"/>
        <w:numPr>
          <w:ilvl w:val="0"/>
          <w:numId w:val="2"/>
        </w:numPr>
        <w:spacing w:after="40" w:before="40"/>
      </w:pPr>
      <w:r>
        <w:rPr>
          <w:rFonts w:ascii="Arial" w:cs="Arial" w:eastAsia="Arial" w:hAnsi="Arial"/>
          <w:color w:val="333333"/>
          <w:sz w:val="22"/>
          <w:szCs w:val="22"/>
        </w:rPr>
        <w:t xml:space="preserve">Phone: 1-800-PINNACLE (available 24x7)</w:t>
      </w:r>
    </w:p>
    <w:p>
      <w:pPr>
        <w:pStyle w:val="ListParagraph"/>
        <w:numPr>
          <w:ilvl w:val="0"/>
          <w:numId w:val="2"/>
        </w:numPr>
        <w:spacing w:after="40" w:before="40"/>
      </w:pPr>
      <w:r>
        <w:rPr>
          <w:rFonts w:ascii="Arial" w:cs="Arial" w:eastAsia="Arial" w:hAnsi="Arial"/>
          <w:color w:val="333333"/>
          <w:sz w:val="22"/>
          <w:szCs w:val="22"/>
        </w:rPr>
        <w:t xml:space="preserve">Email: support@pinnacletrustbank.com</w:t>
      </w:r>
    </w:p>
    <w:p>
      <w:pPr>
        <w:pStyle w:val="ListParagraph"/>
        <w:numPr>
          <w:ilvl w:val="0"/>
          <w:numId w:val="2"/>
        </w:numPr>
        <w:spacing w:after="40" w:before="40"/>
      </w:pPr>
      <w:r>
        <w:rPr>
          <w:rFonts w:ascii="Arial" w:cs="Arial" w:eastAsia="Arial" w:hAnsi="Arial"/>
          <w:color w:val="333333"/>
          <w:sz w:val="22"/>
          <w:szCs w:val="22"/>
        </w:rPr>
        <w:t xml:space="preserve">Mobile App: 'Raise a Complaint' under the Support menu</w:t>
      </w:r>
    </w:p>
    <w:p>
      <w:pPr>
        <w:pStyle w:val="ListParagraph"/>
        <w:numPr>
          <w:ilvl w:val="0"/>
          <w:numId w:val="2"/>
        </w:numPr>
        <w:spacing w:after="40" w:before="40"/>
      </w:pPr>
      <w:r>
        <w:rPr>
          <w:rFonts w:ascii="Arial" w:cs="Arial" w:eastAsia="Arial" w:hAnsi="Arial"/>
          <w:color w:val="333333"/>
          <w:sz w:val="22"/>
          <w:szCs w:val="22"/>
        </w:rPr>
        <w:t xml:space="preserve">Website: www.pinnacletrustbank.com/support</w:t>
      </w:r>
    </w:p>
    <w:p>
      <w:pPr>
        <w:spacing w:after="120" w:before="0"/>
      </w:pPr>
      <w:r>
        <w:t xml:space="preserve"/>
      </w:r>
    </w:p>
    <w:p>
      <w:pPr>
        <w:spacing w:after="80" w:before="60"/>
      </w:pPr>
      <w:r>
        <w:rPr>
          <w:rFonts w:ascii="Arial" w:cs="Arial" w:eastAsia="Arial" w:hAnsi="Arial"/>
          <w:color w:val="333333"/>
          <w:sz w:val="22"/>
          <w:szCs w:val="22"/>
        </w:rPr>
        <w:t xml:space="preserve">PTB aims to resolve all complaints within 7 business days at this level. A complaint reference number will be issued within 24 hours.</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7.2 Level 2: Nodal Officer</w:t>
      </w:r>
    </w:p>
    <w:p>
      <w:pPr>
        <w:spacing w:after="80" w:before="60"/>
      </w:pPr>
      <w:r>
        <w:rPr>
          <w:rFonts w:ascii="Arial" w:cs="Arial" w:eastAsia="Arial" w:hAnsi="Arial"/>
          <w:color w:val="333333"/>
          <w:sz w:val="22"/>
          <w:szCs w:val="22"/>
        </w:rPr>
        <w:t xml:space="preserve">If the complaint is not resolved within 7 business days, or if the customer is dissatisfied with the resolution, they may escalate to the Nodal Officer: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Contact Type</w:t>
            </w:r>
          </w:p>
        </w:tc>
        <w:tc>
          <w:tcPr>
            <w:tcW w:type="dxa" w:w="6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Ms. Sophia Ramirez, Nodal Officer</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6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nodalofficer@pinnacletrustbank.com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+1-212-400-9100 (Mon–Fri, 9 AM – 5 PM)</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Address</w:t>
            </w:r>
          </w:p>
        </w:tc>
        <w:tc>
          <w:tcPr>
            <w:tcW w:type="dxa" w:w="6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Pinnacle Trust Bank, 14 Commerce Square, Financial District, Metropolis, MP 10001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Resolution Time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 business days from escalation</w:t>
            </w:r>
          </w:p>
        </w:tc>
      </w:tr>
    </w:tbl>
    <w:p>
      <w:pPr>
        <w:spacing w:after="120" w:before="0"/>
      </w:pPr>
      <w:r>
        <w:t xml:space="preserve"/>
      </w:r>
    </w:p>
    <w:p>
      <w:pPr>
        <w:pStyle w:val="Heading2"/>
        <w:spacing w:after="120" w:before="280"/>
      </w:pPr>
      <w:r>
        <w:rPr>
          <w:rFonts w:ascii="Arial" w:cs="Arial" w:eastAsia="Arial" w:hAnsi="Arial"/>
          <w:b/>
          <w:bCs/>
          <w:color w:val="1B3A6B"/>
          <w:sz w:val="26"/>
          <w:szCs w:val="26"/>
        </w:rPr>
        <w:t xml:space="preserve">7.3 Level 3: Banking Ombudsman</w:t>
      </w:r>
    </w:p>
    <w:p>
      <w:pPr>
        <w:spacing w:after="80" w:before="60"/>
      </w:pPr>
      <w:r>
        <w:rPr>
          <w:rFonts w:ascii="Arial" w:cs="Arial" w:eastAsia="Arial" w:hAnsi="Arial"/>
          <w:color w:val="333333"/>
          <w:sz w:val="22"/>
          <w:szCs w:val="22"/>
        </w:rPr>
        <w:t xml:space="preserve">If the customer remains unsatisfied after Level 2 resolution (or if 30 days have passed without resolution), they may approach the MFRA Banking Ombudsman free of charge. The Ombudsman covers complaints related to deficiency in service, non-adherence to RBI guidelines, unauthorized debits, and more.</w:t>
      </w:r>
    </w:p>
    <w:p>
      <w:pPr>
        <w:pStyle w:val="ListParagraph"/>
        <w:numPr>
          <w:ilvl w:val="0"/>
          <w:numId w:val="2"/>
        </w:numPr>
        <w:spacing w:after="40" w:before="40"/>
      </w:pPr>
      <w:r>
        <w:rPr>
          <w:rFonts w:ascii="Arial" w:cs="Arial" w:eastAsia="Arial" w:hAnsi="Arial"/>
          <w:color w:val="333333"/>
          <w:sz w:val="22"/>
          <w:szCs w:val="22"/>
        </w:rPr>
        <w:t xml:space="preserve">MFRA Ombudsman Portal: www.mfra-ombudsman.gov.mp</w:t>
      </w:r>
    </w:p>
    <w:p>
      <w:pPr>
        <w:pStyle w:val="ListParagraph"/>
        <w:numPr>
          <w:ilvl w:val="0"/>
          <w:numId w:val="2"/>
        </w:numPr>
        <w:spacing w:after="40" w:before="40"/>
      </w:pPr>
      <w:r>
        <w:rPr>
          <w:rFonts w:ascii="Arial" w:cs="Arial" w:eastAsia="Arial" w:hAnsi="Arial"/>
          <w:color w:val="333333"/>
          <w:sz w:val="22"/>
          <w:szCs w:val="22"/>
        </w:rPr>
        <w:t xml:space="preserve">Toll-Free: 1-900-22-MFRA (1-900-226-6372)</w:t>
      </w:r>
    </w:p>
    <w:p>
      <w:pPr>
        <w:pStyle w:val="ListParagraph"/>
        <w:numPr>
          <w:ilvl w:val="0"/>
          <w:numId w:val="2"/>
        </w:numPr>
        <w:spacing w:after="40" w:before="40"/>
      </w:pPr>
      <w:r>
        <w:rPr>
          <w:rFonts w:ascii="Arial" w:cs="Arial" w:eastAsia="Arial" w:hAnsi="Arial"/>
          <w:color w:val="333333"/>
          <w:sz w:val="22"/>
          <w:szCs w:val="22"/>
        </w:rPr>
        <w:t xml:space="preserve">Physical complaints may be submitted to the nearest MFRA Regional Office.</w:t>
      </w:r>
    </w:p>
    <w:p>
      <w:r>
        <w:br w:type="page"/>
      </w:r>
    </w:p>
    <w:p>
      <w:pPr>
        <w:pStyle w:val="Heading1"/>
        <w:pBdr>
          <w:bottom w:val="single" w:color="1B3A6B" w:sz="6" w:space="6"/>
        </w:pBdr>
        <w:spacing w:after="180" w:before="360"/>
      </w:pPr>
      <w:r>
        <w:rPr>
          <w:rFonts w:ascii="Arial" w:cs="Arial" w:eastAsia="Arial" w:hAnsi="Arial"/>
          <w:b/>
          <w:bCs/>
          <w:color w:val="1B3A6B"/>
          <w:sz w:val="32"/>
          <w:szCs w:val="32"/>
        </w:rPr>
        <w:t xml:space="preserve">8. Customer Contact Details</w:t>
      </w:r>
    </w:p>
    <w:p>
      <w:pPr>
        <w:spacing w:after="80" w:before="60"/>
      </w:pPr>
      <w:r>
        <w:rPr>
          <w:rFonts w:ascii="Arial" w:cs="Arial" w:eastAsia="Arial" w:hAnsi="Arial"/>
          <w:color w:val="333333"/>
          <w:sz w:val="22"/>
          <w:szCs w:val="22"/>
        </w:rPr>
        <w:t xml:space="preserve">Pinnacle Trust Bank maintains an extensive support network to ensure customers can access assistance whenever needed. Below is the comprehensive directory of all contact points, regional offices, and specialized helpdesks.</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8.1 National Customer Care — 24/7 Helpline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Contact 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General Inquiries &amp; Support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1-800-PINNACLE (1-800-746-6225) — Toll-Free, 24x7</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Fraud &amp; Card Blocking</w:t>
            </w:r>
          </w:p>
        </w:tc>
        <w:tc>
          <w:tcPr>
            <w:tcW w:type="dxa" w:w="6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1-800-PTB-SAFE (1-800-782-7233) — Toll-Free, 24x7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Loan Customer Service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1-800-PTB-LOAN (1-800-782-5626) — Mon–Sat, 8 AM–8 PM</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NRI Services</w:t>
            </w:r>
          </w:p>
        </w:tc>
        <w:tc>
          <w:tcPr>
            <w:tcW w:type="dxa" w:w="6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+1-212-400-8800 (International) — Mon–Fri, 9 AM–6 PM IST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Corporate/Business Banking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1-800-PTB-CORP (1-800-782-2677) — Mon–Fri, 9 AM–6 PM</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Wealth Management</w:t>
            </w:r>
          </w:p>
        </w:tc>
        <w:tc>
          <w:tcPr>
            <w:tcW w:type="dxa" w:w="6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1-800-PTB-INVST (1-800-782-4678) — Mon–Fri, 9 AM–5 PM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Technical Support (Digital)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1-800-PTB-TECH (1-800-782-8324) — 24x7</w:t>
            </w:r>
          </w:p>
        </w:tc>
      </w:tr>
    </w:tbl>
    <w:p>
      <w:pPr>
        <w:spacing w:after="120" w:before="0"/>
      </w:pPr>
      <w:r>
        <w:t xml:space="preserve"/>
      </w:r>
    </w:p>
    <w:p>
      <w:pPr>
        <w:pStyle w:val="Heading2"/>
        <w:spacing w:after="120" w:before="280"/>
      </w:pPr>
      <w:r>
        <w:rPr>
          <w:rFonts w:ascii="Arial" w:cs="Arial" w:eastAsia="Arial" w:hAnsi="Arial"/>
          <w:b/>
          <w:bCs/>
          <w:color w:val="1B3A6B"/>
          <w:sz w:val="26"/>
          <w:szCs w:val="26"/>
        </w:rPr>
        <w:t xml:space="preserve">8.2 Email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Department</w:t>
            </w:r>
          </w:p>
        </w:tc>
        <w:tc>
          <w:tcPr>
            <w:tcW w:type="dxa" w:w="6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Email Address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General Customer Support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support@pinnacletrustbank.com</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Loan Applications &amp; Queries</w:t>
            </w:r>
          </w:p>
        </w:tc>
        <w:tc>
          <w:tcPr>
            <w:tcW w:type="dxa" w:w="6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loans@pinnacletrustbank.com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Home Loan Specialists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homeloans@pinnacletrustbank.com</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Complaints &amp; Grievances</w:t>
            </w:r>
          </w:p>
        </w:tc>
        <w:tc>
          <w:tcPr>
            <w:tcW w:type="dxa" w:w="6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grievance@pinnacletrustbank.com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Nodal Officer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nodalofficer@pinnacletrustbank.com</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Fraud Reporting</w:t>
            </w:r>
          </w:p>
        </w:tc>
        <w:tc>
          <w:tcPr>
            <w:tcW w:type="dxa" w:w="6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fraudreport@pinnacletrustbank.com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Corporate Banking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corporate@pinnacletrustbank.com</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NRI Services</w:t>
            </w:r>
          </w:p>
        </w:tc>
        <w:tc>
          <w:tcPr>
            <w:tcW w:type="dxa" w:w="6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nri@pinnacletrustbank.com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Media / PR Inquiries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media@pinnacletrustbank.com</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Investor Relations</w:t>
            </w:r>
          </w:p>
        </w:tc>
        <w:tc>
          <w:tcPr>
            <w:tcW w:type="dxa" w:w="6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investors@pinnacletrustbank.com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Careers &amp; HR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careers@pinnacletrustbank.com</w:t>
            </w:r>
          </w:p>
        </w:tc>
      </w:tr>
    </w:tbl>
    <w:p>
      <w:pPr>
        <w:spacing w:after="120" w:before="0"/>
      </w:pPr>
      <w:r>
        <w:t xml:space="preserve"/>
      </w:r>
    </w:p>
    <w:p>
      <w:pPr>
        <w:pStyle w:val="Heading2"/>
        <w:spacing w:after="120" w:before="280"/>
      </w:pPr>
      <w:r>
        <w:rPr>
          <w:rFonts w:ascii="Arial" w:cs="Arial" w:eastAsia="Arial" w:hAnsi="Arial"/>
          <w:b/>
          <w:bCs/>
          <w:color w:val="1B3A6B"/>
          <w:sz w:val="26"/>
          <w:szCs w:val="26"/>
        </w:rPr>
        <w:t xml:space="preserve">8.3 Regional Office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1760"/>
        <w:gridCol w:w="160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Address</w:t>
            </w:r>
          </w:p>
        </w:tc>
        <w:tc>
          <w:tcPr>
            <w:tcW w:type="dxa" w:w="1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Phone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Office Hours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Metropolis (HQ)</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 Commerce Square, Financial District, MP 10001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+1-212-400-9000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Mon–Fri 9–6</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Northgate Zone</w:t>
            </w:r>
          </w:p>
        </w:tc>
        <w:tc>
          <w:tcPr>
            <w:tcW w:type="dxa" w:w="4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88 Northgate Business Park, Tower C, NG 20002</w:t>
            </w:r>
          </w:p>
        </w:tc>
        <w:tc>
          <w:tcPr>
            <w:tcW w:type="dxa" w:w="1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+1-212-400-9200</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Mon–Fri 9–6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Westfield Zone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Unit 5, Westfield Corporate Hub, WF 30003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+1-212-400-9300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Mon–Fri 9–6</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Eastport Zone</w:t>
            </w:r>
          </w:p>
        </w:tc>
        <w:tc>
          <w:tcPr>
            <w:tcW w:type="dxa" w:w="4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12 Harbor View Rd, Eastport, EP 40004</w:t>
            </w:r>
          </w:p>
        </w:tc>
        <w:tc>
          <w:tcPr>
            <w:tcW w:type="dxa" w:w="1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+1-212-400-9400</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Mon–Fri 9–6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Southdown Zone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3rd Floor, Southdown Plaza, SD 50005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+1-212-400-9500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Mon–Fri 9–6</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Highland Zone</w:t>
            </w:r>
          </w:p>
        </w:tc>
        <w:tc>
          <w:tcPr>
            <w:tcW w:type="dxa" w:w="4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22 Summit Road, Highland Center, HL 60006</w:t>
            </w:r>
          </w:p>
        </w:tc>
        <w:tc>
          <w:tcPr>
            <w:tcW w:type="dxa" w:w="1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+1-212-400-9600</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Mon–Fri 9–6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Lakeview Zone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Block B, Lakeview Tech Park, LV 70007</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+1-212-400-9700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Mon–Fri 9–6</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Riverdale Zone</w:t>
            </w:r>
          </w:p>
        </w:tc>
        <w:tc>
          <w:tcPr>
            <w:tcW w:type="dxa" w:w="4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9 Riverside Avenue, Riverdale, RD 80008</w:t>
            </w:r>
          </w:p>
        </w:tc>
        <w:tc>
          <w:tcPr>
            <w:tcW w:type="dxa" w:w="1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+1-212-400-9800</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Mon–Fri 9–6</w:t>
            </w:r>
          </w:p>
        </w:tc>
      </w:tr>
    </w:tbl>
    <w:p>
      <w:pPr>
        <w:spacing w:after="120" w:before="0"/>
      </w:pPr>
      <w:r>
        <w:t xml:space="preserve"/>
      </w:r>
    </w:p>
    <w:p>
      <w:pPr>
        <w:pStyle w:val="Heading2"/>
        <w:spacing w:after="120" w:before="280"/>
      </w:pPr>
      <w:r>
        <w:rPr>
          <w:rFonts w:ascii="Arial" w:cs="Arial" w:eastAsia="Arial" w:hAnsi="Arial"/>
          <w:b/>
          <w:bCs/>
          <w:color w:val="1B3A6B"/>
          <w:sz w:val="26"/>
          <w:szCs w:val="26"/>
        </w:rPr>
        <w:t xml:space="preserve">8.4 Key Personnel Contact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Name &amp; Designation</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Phone / Ext</w:t>
            </w:r>
          </w:p>
        </w:tc>
        <w:tc>
          <w:tcPr>
            <w:tcW w:type="dxa" w:w="3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Email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Mr. Jonathan Hargrove
Chief Executive Officer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+1-212-400-9001</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ceo@pinnacletrustbank.com</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Ms. Priya Nair
Chief Financial Officer</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+1-212-400-9002</w:t>
            </w:r>
          </w:p>
        </w:tc>
        <w:tc>
          <w:tcPr>
            <w:tcW w:type="dxa" w:w="3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cfo@pinnacletrustbank.com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Mr. David Okafor
Chief Risk Officer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+1-212-400-9003</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cro@pinnacletrustbank.com</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Ms. Ling Zhang
Head of Retail Banking</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+1-212-400-9010</w:t>
            </w:r>
          </w:p>
        </w:tc>
        <w:tc>
          <w:tcPr>
            <w:tcW w:type="dxa" w:w="3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retailhead@pinnacletrustbank.com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Mr. Samuel Torres
Head of Digital Banking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+1-212-400-9020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digital@pinnacletrustbank.com</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Ms. Sophia Ramirez
Nodal Officer / Customer Affairs</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+1-212-400-9100</w:t>
            </w:r>
          </w:p>
        </w:tc>
        <w:tc>
          <w:tcPr>
            <w:tcW w:type="dxa" w:w="3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nodalofficer@pinnacletrustbank.com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Mr. Arun Mehta
Head of Credit &amp; Loans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+1-212-400-9030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credithead@pinnacletrustbank.com</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Ms. Fatima Al-Hassan
Head of Compliance &amp; AML</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+1-212-400-9040</w:t>
            </w:r>
          </w:p>
        </w:tc>
        <w:tc>
          <w:tcPr>
            <w:tcW w:type="dxa" w:w="3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compliance@pinnacletrustbank.com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Mr. Chris Nguyen
Chief Technology Officer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+1-212-400-9050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cto@pinnacletrustbank.com</w:t>
            </w:r>
          </w:p>
        </w:tc>
      </w:tr>
    </w:tbl>
    <w:p>
      <w:pPr>
        <w:spacing w:after="120" w:before="0"/>
      </w:pPr>
      <w:r>
        <w:t xml:space="preserve"/>
      </w:r>
    </w:p>
    <w:p>
      <w:pPr>
        <w:pStyle w:val="Heading2"/>
        <w:spacing w:after="120" w:before="280"/>
      </w:pPr>
      <w:r>
        <w:rPr>
          <w:rFonts w:ascii="Arial" w:cs="Arial" w:eastAsia="Arial" w:hAnsi="Arial"/>
          <w:b/>
          <w:bCs/>
          <w:color w:val="1B3A6B"/>
          <w:sz w:val="26"/>
          <w:szCs w:val="26"/>
        </w:rPr>
        <w:t xml:space="preserve">8.5 Branch Locator</w:t>
      </w:r>
    </w:p>
    <w:p>
      <w:pPr>
        <w:spacing w:after="80" w:before="60"/>
      </w:pPr>
      <w:r>
        <w:rPr>
          <w:rFonts w:ascii="Arial" w:cs="Arial" w:eastAsia="Arial" w:hAnsi="Arial"/>
          <w:color w:val="333333"/>
          <w:sz w:val="22"/>
          <w:szCs w:val="22"/>
        </w:rPr>
        <w:t xml:space="preserve">With 142 branches and 1,200+ ATMs nationwide, PTB is always close to you. Use the PTB Branch and ATM Locator available on:</w:t>
      </w:r>
    </w:p>
    <w:p>
      <w:pPr>
        <w:pStyle w:val="ListParagraph"/>
        <w:numPr>
          <w:ilvl w:val="0"/>
          <w:numId w:val="2"/>
        </w:numPr>
        <w:spacing w:after="40" w:before="40"/>
      </w:pPr>
      <w:r>
        <w:rPr>
          <w:rFonts w:ascii="Arial" w:cs="Arial" w:eastAsia="Arial" w:hAnsi="Arial"/>
          <w:color w:val="333333"/>
          <w:sz w:val="22"/>
          <w:szCs w:val="22"/>
        </w:rPr>
        <w:t xml:space="preserve">Website: www.pinnacletrustbank.com/branches</w:t>
      </w:r>
    </w:p>
    <w:p>
      <w:pPr>
        <w:pStyle w:val="ListParagraph"/>
        <w:numPr>
          <w:ilvl w:val="0"/>
          <w:numId w:val="2"/>
        </w:numPr>
        <w:spacing w:after="40" w:before="40"/>
      </w:pPr>
      <w:r>
        <w:rPr>
          <w:rFonts w:ascii="Arial" w:cs="Arial" w:eastAsia="Arial" w:hAnsi="Arial"/>
          <w:color w:val="333333"/>
          <w:sz w:val="22"/>
          <w:szCs w:val="22"/>
        </w:rPr>
        <w:t xml:space="preserve">Mobile App: 'Branch &amp; ATM Locator' with GPS-based nearest branch search</w:t>
      </w:r>
    </w:p>
    <w:p>
      <w:pPr>
        <w:pStyle w:val="ListParagraph"/>
        <w:numPr>
          <w:ilvl w:val="0"/>
          <w:numId w:val="2"/>
        </w:numPr>
        <w:spacing w:after="40" w:before="40"/>
      </w:pPr>
      <w:r>
        <w:rPr>
          <w:rFonts w:ascii="Arial" w:cs="Arial" w:eastAsia="Arial" w:hAnsi="Arial"/>
          <w:color w:val="333333"/>
          <w:sz w:val="22"/>
          <w:szCs w:val="22"/>
        </w:rPr>
        <w:t xml:space="preserve">Google Maps: Search 'Pinnacle Trust Bank' to find your nearest branch</w:t>
      </w:r>
    </w:p>
    <w:p>
      <w:pPr>
        <w:pStyle w:val="ListParagraph"/>
        <w:numPr>
          <w:ilvl w:val="0"/>
          <w:numId w:val="2"/>
        </w:numPr>
        <w:spacing w:after="40" w:before="40"/>
      </w:pPr>
      <w:r>
        <w:rPr>
          <w:rFonts w:ascii="Arial" w:cs="Arial" w:eastAsia="Arial" w:hAnsi="Arial"/>
          <w:color w:val="333333"/>
          <w:sz w:val="22"/>
          <w:szCs w:val="22"/>
        </w:rPr>
        <w:t xml:space="preserve">SMS: Send 'BRANCH &lt;your city name&gt;' to 567890 to receive the nearest 3 branch addresses</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8.6 Social Media &amp; Online Presence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6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Handle / URL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Website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www.pinnacletrustbank.com</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Facebook</w:t>
            </w:r>
          </w:p>
        </w:tc>
        <w:tc>
          <w:tcPr>
            <w:tcW w:type="dxa" w:w="6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facebook.com/PinnacletrustBank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Twitter / 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@PinnacleBank</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LinkedIn</w:t>
            </w:r>
          </w:p>
        </w:tc>
        <w:tc>
          <w:tcPr>
            <w:tcW w:type="dxa" w:w="6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linkedin.com/company/pinnacletrustbank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Instagram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@pinnacletrustbank</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YouTube</w:t>
            </w:r>
          </w:p>
        </w:tc>
        <w:tc>
          <w:tcPr>
            <w:tcW w:type="dxa" w:w="6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333333"/>
                <w:sz w:val="20"/>
                <w:szCs w:val="20"/>
              </w:rPr>
              <w:t xml:space="preserve">youtube.com/PinnacletrustBank</w:t>
            </w:r>
          </w:p>
        </w:tc>
      </w:tr>
    </w:tbl>
    <w:p>
      <w:r>
        <w:br w:type="page"/>
      </w:r>
    </w:p>
    <w:p>
      <w:pPr>
        <w:pStyle w:val="Heading1"/>
        <w:pBdr>
          <w:bottom w:val="single" w:color="1B3A6B" w:sz="6" w:space="6"/>
        </w:pBdr>
        <w:spacing w:after="180" w:before="360"/>
      </w:pPr>
      <w:r>
        <w:rPr>
          <w:rFonts w:ascii="Arial" w:cs="Arial" w:eastAsia="Arial" w:hAnsi="Arial"/>
          <w:b/>
          <w:bCs/>
          <w:color w:val="1B3A6B"/>
          <w:sz w:val="32"/>
          <w:szCs w:val="32"/>
        </w:rPr>
        <w:t xml:space="preserve">9. General Banking Policies Summary</w:t>
      </w:r>
    </w:p>
    <w:p>
      <w:pPr>
        <w:pStyle w:val="Heading2"/>
        <w:spacing w:after="120" w:before="280"/>
      </w:pPr>
      <w:r>
        <w:rPr>
          <w:rFonts w:ascii="Arial" w:cs="Arial" w:eastAsia="Arial" w:hAnsi="Arial"/>
          <w:b/>
          <w:bCs/>
          <w:color w:val="1B3A6B"/>
          <w:sz w:val="26"/>
          <w:szCs w:val="26"/>
        </w:rPr>
        <w:t xml:space="preserve">9.1 Account Dormancy</w:t>
      </w:r>
    </w:p>
    <w:p>
      <w:pPr>
        <w:spacing w:after="80" w:before="60"/>
      </w:pPr>
      <w:r>
        <w:rPr>
          <w:rFonts w:ascii="Arial" w:cs="Arial" w:eastAsia="Arial" w:hAnsi="Arial"/>
          <w:color w:val="333333"/>
          <w:sz w:val="22"/>
          <w:szCs w:val="22"/>
        </w:rPr>
        <w:t xml:space="preserve">An account is classified as 'Inoperative' if there are no customer-initiated transactions for 12 consecutive months, and 'Dormant' after 24 months of inactivity. No charges apply for dormant accounts. Customers can reactivate accounts by visiting the home branch with valid KYC documents. Unclaimed deposits for more than 10 years are transferred to the Depositor Education and Awareness Fund (DEAF) maintained by the MFRA.</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9.2 Nomination Facility</w:t>
      </w:r>
    </w:p>
    <w:p>
      <w:pPr>
        <w:spacing w:after="80" w:before="60"/>
      </w:pPr>
      <w:r>
        <w:rPr>
          <w:rFonts w:ascii="Arial" w:cs="Arial" w:eastAsia="Arial" w:hAnsi="Arial"/>
          <w:color w:val="333333"/>
          <w:sz w:val="22"/>
          <w:szCs w:val="22"/>
        </w:rPr>
        <w:t xml:space="preserve">PTB strongly recommends all account holders to register a nominee. Nominations can be made for savings accounts, fixed deposits, lockers, and all credit facilities. Nominations can be added or changed at any time through internet banking, the mobile app, or at the branch. In the unfortunate event of the account holder's demise, the nominee can claim the funds by producing a certified death certificate, nominee ID proof, and completing the claim form (PTB-CLM-01).</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9.3 Privacy and Data Protection</w:t>
      </w:r>
    </w:p>
    <w:p>
      <w:pPr>
        <w:spacing w:after="80" w:before="60"/>
      </w:pPr>
      <w:r>
        <w:rPr>
          <w:rFonts w:ascii="Arial" w:cs="Arial" w:eastAsia="Arial" w:hAnsi="Arial"/>
          <w:color w:val="333333"/>
          <w:sz w:val="22"/>
          <w:szCs w:val="22"/>
        </w:rPr>
        <w:t xml:space="preserve">PTB is committed to protecting customer data in compliance with the Metropolis Data Privacy Act (MDPA) 2021. Customer information will not be shared with any third party except as required by law, for fraud prevention, or with explicit customer consent. Customers may request a copy of all personal data held by PTB by submitting a Data Access Request form (DAR-2025) available on the website or at any branch. PTB's Privacy Policy is available in full at www.pinnacletrustbank.com/privacy.</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9.4 Foreign Exchange &amp; Remittance</w:t>
      </w:r>
    </w:p>
    <w:p>
      <w:pPr>
        <w:spacing w:after="80" w:before="60"/>
      </w:pPr>
      <w:r>
        <w:rPr>
          <w:rFonts w:ascii="Arial" w:cs="Arial" w:eastAsia="Arial" w:hAnsi="Arial"/>
          <w:color w:val="333333"/>
          <w:sz w:val="22"/>
          <w:szCs w:val="22"/>
        </w:rPr>
        <w:t xml:space="preserve">PTB is an authorized dealer in foreign exchange. Customers can purchase foreign currency, travel cards, and send/receive international remittances at all designated forex branches. PTB partners with SWIFT, Western Union, and MoneyGram for global transfers. Exchange rates are updated daily and displayed on the website and at Forex counters. A valid PAN and purpose declaration is required for transactions above $5,000 per financial year.</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9.5 Safe Deposit Lockers</w:t>
      </w:r>
    </w:p>
    <w:p>
      <w:pPr>
        <w:spacing w:after="80" w:before="60"/>
      </w:pPr>
      <w:r>
        <w:rPr>
          <w:rFonts w:ascii="Arial" w:cs="Arial" w:eastAsia="Arial" w:hAnsi="Arial"/>
          <w:color w:val="333333"/>
          <w:sz w:val="22"/>
          <w:szCs w:val="22"/>
        </w:rPr>
        <w:t xml:space="preserve">PTB offers safe deposit lockers in various sizes at select branches. Annual locker rent ranges from $75 to $400 depending on locker size and branch location. A lien-backed FD equal to 3 years' rent is required at the time of locker allotment. Lockers can be operated during branch working hours only and must be registered in the names of up to 2 joint holders. Nomination is mandatory for all new locker allotments.</w:t>
      </w:r>
    </w:p>
    <w:p>
      <w:pPr>
        <w:spacing w:after="120" w:before="0"/>
      </w:pPr>
      <w:r>
        <w:t xml:space="preserve"/>
      </w:r>
    </w:p>
    <w:p>
      <w:pPr>
        <w:pStyle w:val="Heading2"/>
        <w:spacing w:after="120" w:before="280"/>
      </w:pPr>
      <w:r>
        <w:rPr>
          <w:rFonts w:ascii="Arial" w:cs="Arial" w:eastAsia="Arial" w:hAnsi="Arial"/>
          <w:b/>
          <w:bCs/>
          <w:color w:val="1B3A6B"/>
          <w:sz w:val="26"/>
          <w:szCs w:val="26"/>
        </w:rPr>
        <w:t xml:space="preserve">9.6 Policy Updates</w:t>
      </w:r>
    </w:p>
    <w:p>
      <w:pPr>
        <w:spacing w:after="80" w:before="60"/>
      </w:pPr>
      <w:r>
        <w:rPr>
          <w:rFonts w:ascii="Arial" w:cs="Arial" w:eastAsia="Arial" w:hAnsi="Arial"/>
          <w:color w:val="333333"/>
          <w:sz w:val="22"/>
          <w:szCs w:val="22"/>
        </w:rPr>
        <w:t xml:space="preserve">All policies contained in this document are subject to revision by PTB's Board of Directors and may be updated based on regulatory changes, market conditions, or internal review. Customers will be notified of material changes via registered email, SMS, and on the PTB website at least 30 days before the changes take effect. The most current version of this policy document is always available at www.pinnacletrustbank.com/policies.</w:t>
      </w:r>
    </w:p>
    <w:p>
      <w:pPr>
        <w:spacing w:after="200" w:before="0"/>
      </w:pPr>
      <w:r>
        <w:t xml:space="preserve"/>
      </w:r>
    </w:p>
    <w:p>
      <w:pPr>
        <w:pBdr>
          <w:top w:val="single" w:color="1B3A6B" w:sz="4" w:space="8"/>
        </w:pBdr>
        <w:spacing w:after="80" w:before="200"/>
        <w:jc w:val="center"/>
      </w:pPr>
      <w:r>
        <w:rPr>
          <w:rFonts w:ascii="Arial" w:cs="Arial" w:eastAsia="Arial" w:hAnsi="Arial"/>
          <w:i/>
          <w:iCs/>
          <w:color w:val="666666"/>
          <w:sz w:val="18"/>
          <w:szCs w:val="18"/>
        </w:rPr>
        <w:t xml:space="preserve">This document is the property of Pinnacle Trust Bank PLC. Unauthorized reproduction is prohibited.</w:t>
      </w:r>
    </w:p>
    <w:p>
      <w:pPr>
        <w:jc w:val="center"/>
      </w:pPr>
      <w:r>
        <w:rPr>
          <w:rFonts w:ascii="Arial" w:cs="Arial" w:eastAsia="Arial" w:hAnsi="Arial"/>
          <w:color w:val="666666"/>
          <w:sz w:val="18"/>
          <w:szCs w:val="18"/>
        </w:rPr>
        <w:t xml:space="preserve">© 2025 Pinnacle Trust Bank PLC. All Rights Reserved. | MFRA License No. MP-BANK-1987-042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tabs>
        <w:tab w:val="right" w:pos="9026"/>
      </w:tabs>
      <w:spacing w:after="0" w:before="120"/>
    </w:pPr>
    <w:r>
      <w:rPr>
        <w:rFonts w:ascii="Arial" w:cs="Arial" w:eastAsia="Arial" w:hAnsi="Arial"/>
        <w:color w:val="666666"/>
        <w:sz w:val="18"/>
        <w:szCs w:val="18"/>
      </w:rPr>
      <w:t xml:space="preserve">Confidential — For Customer Use</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spacing w:after="120" w:before="0"/>
    </w:pPr>
    <w:r>
      <w:rPr>
        <w:rFonts w:ascii="Arial" w:cs="Arial" w:eastAsia="Arial" w:hAnsi="Arial"/>
        <w:color w:val="666666"/>
        <w:sz w:val="18"/>
        <w:szCs w:val="18"/>
      </w:rPr>
      <w:t xml:space="preserve">PINNACLE TRUST BANK  |  Comprehensive Banking Policy Handbook</w:t>
    </w:r>
    <w:r>
      <w:rPr>
        <w:rFonts w:ascii="Arial" w:cs="Arial" w:eastAsia="Arial" w:hAnsi="Arial"/>
        <w:color w:val="666666"/>
        <w:sz w:val="18"/>
        <w:szCs w:val="18"/>
      </w:rPr>
      <w:t xml:space="preserve">   |   Version 4.2  |  January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2026-05-06T18:59:23.246Z</dcterms:created>
  <dcterms:modified xsi:type="dcterms:W3CDTF">2026-05-06T18:59:23.246Z</dcterms:modified>
</cp:coreProperties>
</file>

<file path=docProps/custom.xml><?xml version="1.0" encoding="utf-8"?>
<Properties xmlns="http://schemas.openxmlformats.org/officeDocument/2006/custom-properties" xmlns:vt="http://schemas.openxmlformats.org/officeDocument/2006/docPropsVTypes"/>
</file>