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ptos Display" w:hAnsi="Aptos Display"/>
          <w:b/>
          <w:color w:val="1C3752"/>
          <w:sz w:val="62"/>
        </w:rPr>
        <w:t>SALES &amp;</w:t>
        <w:br/>
        <w:t>PROFITABILITY</w:t>
        <w:br/>
        <w:t>ANALYSIS</w:t>
      </w:r>
    </w:p>
    <w:p>
      <w:pPr>
        <w:spacing w:before="160"/>
      </w:pPr>
      <w:r>
        <w:rPr>
          <w:color w:val="00707A"/>
          <w:sz w:val="32"/>
        </w:rPr>
        <w:t>A business analytics portfolio project</w:t>
      </w:r>
    </w:p>
    <w:p>
      <w:r>
        <w:t>An exploratory analysis of sales, profit, product categories, and discount patterns in a Superstore dataset covering 2011–2014.</w:t>
      </w:r>
    </w:p>
    <w:p/>
    <w:tbl>
      <w:tblPr>
        <w:tblW w:type="auto" w:w="0"/>
        <w:jc w:val="left"/>
        <w:tblLayout w:type="fixed"/>
        <w:tblLook w:firstColumn="1" w:firstRow="1" w:lastColumn="0" w:lastRow="0" w:noHBand="0" w:noVBand="1" w:val="04A0"/>
      </w:tblPr>
      <w:tblGrid>
        <w:gridCol w:w="2304"/>
        <w:gridCol w:w="6912"/>
      </w:tblGrid>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Tools</w:t>
            </w:r>
          </w:p>
        </w:tc>
        <w:tc>
          <w:tcPr>
            <w:tcW w:type="dxa" w:w="4968"/>
            <w:vAlign w:val="center"/>
            <w:shd w:fill="F1F5F8"/>
            <w:tcMar>
              <w:top w:w="70" w:type="dxa"/>
              <w:start w:w="90" w:type="dxa"/>
              <w:bottom w:w="70" w:type="dxa"/>
              <w:end w:w="90" w:type="dxa"/>
            </w:tcMar>
          </w:tcPr>
          <w:p>
            <w:pPr>
              <w:spacing w:after="0"/>
            </w:pPr>
            <w:r/>
            <w:r>
              <w:rPr>
                <w:rFonts w:ascii="Aptos" w:hAnsi="Aptos"/>
                <w:b w:val="0"/>
                <w:sz w:val="18"/>
              </w:rPr>
              <w:t>Microsoft Excel 365 • PostgreSQL / pgAdmin • Tableau Public</w:t>
            </w:r>
          </w:p>
        </w:tc>
      </w:tr>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Dataset</w:t>
            </w:r>
          </w:p>
        </w:tc>
        <w:tc>
          <w:tcPr>
            <w:tcW w:type="dxa" w:w="4968"/>
            <w:vAlign w:val="center"/>
            <w:shd w:fill="F1F5F8"/>
            <w:tcMar>
              <w:top w:w="70" w:type="dxa"/>
              <w:start w:w="90" w:type="dxa"/>
              <w:bottom w:w="70" w:type="dxa"/>
              <w:end w:w="90" w:type="dxa"/>
            </w:tcMar>
          </w:tcPr>
          <w:p>
            <w:pPr>
              <w:spacing w:after="0"/>
            </w:pPr>
            <w:r/>
            <w:r>
              <w:rPr>
                <w:rFonts w:ascii="Aptos" w:hAnsi="Aptos"/>
                <w:b w:val="0"/>
                <w:sz w:val="18"/>
              </w:rPr>
              <w:t>Superstore order-level dataset; 51,290 records</w:t>
            </w:r>
          </w:p>
        </w:tc>
      </w:tr>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Focus</w:t>
            </w:r>
          </w:p>
        </w:tc>
        <w:tc>
          <w:tcPr>
            <w:tcW w:type="dxa" w:w="4968"/>
            <w:vAlign w:val="center"/>
            <w:shd w:fill="F1F5F8"/>
            <w:tcMar>
              <w:top w:w="70" w:type="dxa"/>
              <w:start w:w="90" w:type="dxa"/>
              <w:bottom w:w="70" w:type="dxa"/>
              <w:end w:w="90" w:type="dxa"/>
            </w:tcMar>
          </w:tcPr>
          <w:p>
            <w:pPr>
              <w:spacing w:after="0"/>
            </w:pPr>
            <w:r/>
            <w:r>
              <w:rPr>
                <w:rFonts w:ascii="Aptos" w:hAnsi="Aptos"/>
                <w:b w:val="0"/>
                <w:sz w:val="18"/>
              </w:rPr>
              <w:t>Sales performance, profitability, category comparison, discount patterns</w:t>
            </w:r>
          </w:p>
        </w:tc>
      </w:tr>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Prepared by</w:t>
            </w:r>
          </w:p>
        </w:tc>
        <w:tc>
          <w:tcPr>
            <w:tcW w:type="dxa" w:w="4968"/>
            <w:vAlign w:val="center"/>
            <w:shd w:fill="F1F5F8"/>
            <w:tcMar>
              <w:top w:w="70" w:type="dxa"/>
              <w:start w:w="90" w:type="dxa"/>
              <w:bottom w:w="70" w:type="dxa"/>
              <w:end w:w="90" w:type="dxa"/>
            </w:tcMar>
          </w:tcPr>
          <w:p>
            <w:pPr>
              <w:spacing w:after="0"/>
            </w:pPr>
            <w:r/>
            <w:r>
              <w:rPr>
                <w:rFonts w:ascii="Aptos" w:hAnsi="Aptos"/>
                <w:b w:val="0"/>
                <w:sz w:val="18"/>
              </w:rPr>
              <w:t>Anjola Balogun</w:t>
            </w:r>
          </w:p>
        </w:tc>
      </w:tr>
    </w:tbl>
    <w:p>
      <w:r>
        <w:br w:type="page"/>
      </w:r>
    </w:p>
    <w:p>
      <w:pPr>
        <w:pStyle w:val="Heading1"/>
      </w:pPr>
      <w:r>
        <w:t>1. Executive summary</w:t>
      </w:r>
    </w:p>
    <w:p>
      <w:r>
        <w:t>This project examines sales and profitability in a Superstore dataset containing 51,290 records from 2011 to 2014. Excel was used for initial data checks and exploration, SQL was used to calculate key performance indicators and compare categories and subcategories, and Tableau Public was used to build a dashboard showing sales, profit, and profit margin by product category.</w:t>
      </w:r>
    </w:p>
    <w:p>
      <w:r>
        <w:t>Across the dataset, total sales were approximately 12.64 million and total profit was approximately 1.47 million, producing an overall profit margin of 11.62%. Technology generated the highest sales and profit among the three categories. Furniture had the lowest category-level profit margin at 6.98%. At subcategory level, Tables was the only subcategory with a negative overall profit, with a loss of approximately 64,083.39.</w:t>
      </w:r>
    </w:p>
    <w:p>
      <w:r>
        <w:t>A separate review of Furniture discount levels found that higher discount groups often coincided with weaker or negative profit margins. The data shows a relationship between higher discounts and weaker margins, but it does not prove that discounts alone caused the losses. Product costs, product mix, order characteristics, and other factors may also contribute.</w:t>
      </w:r>
    </w:p>
    <w:p>
      <w:pPr>
        <w:pStyle w:val="Heading1"/>
      </w:pPr>
      <w:r>
        <w:t>2. Business question and objectives</w:t>
      </w:r>
    </w:p>
    <w:p>
      <w:r>
        <w:t>Primary business question:</w:t>
      </w:r>
    </w:p>
    <w:p>
      <w:pPr>
        <w:ind w:left="360"/>
      </w:pPr>
      <w:r>
        <w:rPr>
          <w:i/>
        </w:rPr>
        <w:t>How does sales performance compare with profitability across product categories, and where might the business investigate opportunities to improve profit?</w:t>
      </w:r>
    </w:p>
    <w:p>
      <w:pPr>
        <w:pStyle w:val="ListBullet"/>
        <w:spacing w:after="60"/>
      </w:pPr>
      <w:r>
        <w:t>Summarize overall sales, profit, quantity, and profit margin.</w:t>
      </w:r>
    </w:p>
    <w:p>
      <w:pPr>
        <w:pStyle w:val="ListBullet"/>
        <w:spacing w:after="60"/>
      </w:pPr>
      <w:r>
        <w:t>Compare sales, profit, and profit margin across product categories.</w:t>
      </w:r>
    </w:p>
    <w:p>
      <w:pPr>
        <w:pStyle w:val="ListBullet"/>
        <w:spacing w:after="60"/>
      </w:pPr>
      <w:r>
        <w:t>Identify subcategories with especially strong profitability or potential concerns.</w:t>
      </w:r>
    </w:p>
    <w:p>
      <w:pPr>
        <w:pStyle w:val="ListBullet"/>
        <w:spacing w:after="60"/>
      </w:pPr>
      <w:r>
        <w:t>Explore how Furniture profit margins vary across discount levels.</w:t>
      </w:r>
    </w:p>
    <w:p>
      <w:pPr>
        <w:pStyle w:val="ListBullet"/>
        <w:spacing w:after="60"/>
      </w:pPr>
      <w:r>
        <w:t>Turn the findings into practical recommendations while being clear about what the data can and cannot tell us.</w:t>
      </w:r>
    </w:p>
    <w:p>
      <w:pPr>
        <w:pStyle w:val="Heading1"/>
      </w:pPr>
      <w:r>
        <w:t>3. Dataset and tools</w:t>
      </w:r>
    </w:p>
    <w:p>
      <w:r>
        <w:t>The analysis used the Superstore order-level dataset supplied as a CSV file. The dataset contained 51,290 data rows and fields including order and shipping dates, customer and market details, product category and subcategory, sales, quantity, discount, profit, and shipping cost. The source data covered 2011–2014.</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Tool</w:t>
            </w:r>
          </w:p>
        </w:tc>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How it was used</w:t>
            </w:r>
          </w:p>
        </w:tc>
      </w:tr>
      <w:tr>
        <w:tc>
          <w:tcPr>
            <w:tcW w:type="dxa" w:w="4968"/>
            <w:vAlign w:val="center"/>
            <w:tcMar>
              <w:top w:w="70" w:type="dxa"/>
              <w:start w:w="90" w:type="dxa"/>
              <w:bottom w:w="70" w:type="dxa"/>
              <w:end w:w="90" w:type="dxa"/>
            </w:tcMar>
          </w:tcPr>
          <w:p>
            <w:pPr>
              <w:spacing w:after="0"/>
            </w:pPr>
            <w:r/>
            <w:r>
              <w:rPr>
                <w:rFonts w:ascii="Aptos" w:hAnsi="Aptos"/>
                <w:b/>
                <w:sz w:val="18"/>
              </w:rPr>
              <w:t>Excel 365</w:t>
            </w:r>
          </w:p>
        </w:tc>
        <w:tc>
          <w:tcPr>
            <w:tcW w:type="dxa" w:w="4968"/>
            <w:vAlign w:val="center"/>
            <w:tcMar>
              <w:top w:w="70" w:type="dxa"/>
              <w:start w:w="90" w:type="dxa"/>
              <w:bottom w:w="70" w:type="dxa"/>
              <w:end w:w="90" w:type="dxa"/>
            </w:tcMar>
          </w:tcPr>
          <w:p>
            <w:pPr>
              <w:spacing w:after="0"/>
            </w:pPr>
            <w:r/>
            <w:r>
              <w:rPr>
                <w:rFonts w:ascii="Aptos" w:hAnsi="Aptos"/>
                <w:b w:val="0"/>
                <w:sz w:val="18"/>
              </w:rPr>
              <w:t>Initial data-quality checks, date-format review/conversion in a separate column, and exploratory checks.</w:t>
            </w:r>
          </w:p>
        </w:tc>
      </w:tr>
      <w:tr>
        <w:tc>
          <w:tcPr>
            <w:tcW w:type="dxa" w:w="4968"/>
            <w:vAlign w:val="center"/>
            <w:tcMar>
              <w:top w:w="70" w:type="dxa"/>
              <w:start w:w="90" w:type="dxa"/>
              <w:bottom w:w="70" w:type="dxa"/>
              <w:end w:w="90" w:type="dxa"/>
            </w:tcMar>
          </w:tcPr>
          <w:p>
            <w:pPr>
              <w:spacing w:after="0"/>
            </w:pPr>
            <w:r/>
            <w:r>
              <w:rPr>
                <w:rFonts w:ascii="Aptos" w:hAnsi="Aptos"/>
                <w:b/>
                <w:sz w:val="18"/>
              </w:rPr>
              <w:t>PostgreSQL / pgAdmin</w:t>
            </w:r>
          </w:p>
        </w:tc>
        <w:tc>
          <w:tcPr>
            <w:tcW w:type="dxa" w:w="4968"/>
            <w:vAlign w:val="center"/>
            <w:tcMar>
              <w:top w:w="70" w:type="dxa"/>
              <w:start w:w="90" w:type="dxa"/>
              <w:bottom w:w="70" w:type="dxa"/>
              <w:end w:w="90" w:type="dxa"/>
            </w:tcMar>
          </w:tcPr>
          <w:p>
            <w:pPr>
              <w:spacing w:after="0"/>
            </w:pPr>
            <w:r/>
            <w:r>
              <w:rPr>
                <w:rFonts w:ascii="Aptos" w:hAnsi="Aptos"/>
                <w:b w:val="0"/>
                <w:sz w:val="18"/>
              </w:rPr>
              <w:t>SQL aggregations and calculations for KPIs, category and subcategory comparisons, and discount-level analysis.</w:t>
            </w:r>
          </w:p>
        </w:tc>
      </w:tr>
      <w:tr>
        <w:tc>
          <w:tcPr>
            <w:tcW w:type="dxa" w:w="4968"/>
            <w:vAlign w:val="center"/>
            <w:tcMar>
              <w:top w:w="70" w:type="dxa"/>
              <w:start w:w="90" w:type="dxa"/>
              <w:bottom w:w="70" w:type="dxa"/>
              <w:end w:w="90" w:type="dxa"/>
            </w:tcMar>
          </w:tcPr>
          <w:p>
            <w:pPr>
              <w:spacing w:after="0"/>
            </w:pPr>
            <w:r/>
            <w:r>
              <w:rPr>
                <w:rFonts w:ascii="Aptos" w:hAnsi="Aptos"/>
                <w:b/>
                <w:sz w:val="18"/>
              </w:rPr>
              <w:t>Tableau Public</w:t>
            </w:r>
          </w:p>
        </w:tc>
        <w:tc>
          <w:tcPr>
            <w:tcW w:type="dxa" w:w="4968"/>
            <w:vAlign w:val="center"/>
            <w:tcMar>
              <w:top w:w="70" w:type="dxa"/>
              <w:start w:w="90" w:type="dxa"/>
              <w:bottom w:w="70" w:type="dxa"/>
              <w:end w:w="90" w:type="dxa"/>
            </w:tcMar>
          </w:tcPr>
          <w:p>
            <w:pPr>
              <w:spacing w:after="0"/>
            </w:pPr>
            <w:r/>
            <w:r>
              <w:rPr>
                <w:rFonts w:ascii="Aptos" w:hAnsi="Aptos"/>
                <w:b w:val="0"/>
                <w:sz w:val="18"/>
              </w:rPr>
              <w:t>Published dashboard comparing sales, profit, and profit margin by product category, with a written key finding.</w:t>
            </w:r>
          </w:p>
        </w:tc>
      </w:tr>
    </w:tbl>
    <w:p>
      <w:pPr>
        <w:pStyle w:val="Heading1"/>
      </w:pPr>
      <w:r>
        <w:t>4. Methodology</w:t>
      </w:r>
    </w:p>
    <w:p>
      <w:pPr>
        <w:pStyle w:val="ListNumber"/>
        <w:spacing w:after="80"/>
      </w:pPr>
      <w:r>
        <w:rPr>
          <w:b/>
        </w:rPr>
        <w:t xml:space="preserve">Data review in Excel: </w:t>
      </w:r>
      <w:r>
        <w:t>Checked key fields for blanks and checked for exact duplicate rows. The checks reported no blanks in the fields reviewed and no exact duplicate rows. A converted order-date helper column was created and checked as a date value.</w:t>
      </w:r>
    </w:p>
    <w:p>
      <w:pPr>
        <w:pStyle w:val="ListNumber"/>
        <w:spacing w:after="80"/>
      </w:pPr>
      <w:r>
        <w:rPr>
          <w:b/>
        </w:rPr>
        <w:t xml:space="preserve">SQL preparation and calculations: </w:t>
      </w:r>
      <w:r>
        <w:t>The imported sales, profit, and quantity fields were stored as text. Numeric calculations therefore removed comma separators and cast the values to numeric types before aggregation.</w:t>
      </w:r>
    </w:p>
    <w:p>
      <w:pPr>
        <w:pStyle w:val="ListNumber"/>
        <w:spacing w:after="80"/>
      </w:pPr>
      <w:r>
        <w:rPr>
          <w:b/>
        </w:rPr>
        <w:t xml:space="preserve">KPI calculation: </w:t>
      </w:r>
      <w:r>
        <w:t>Calculated record count, total sales, total profit, total quantity, overall profit margin, and number of zero-profit records.</w:t>
      </w:r>
    </w:p>
    <w:p>
      <w:pPr>
        <w:pStyle w:val="ListNumber"/>
        <w:spacing w:after="80"/>
      </w:pPr>
      <w:r>
        <w:rPr>
          <w:b/>
        </w:rPr>
        <w:t xml:space="preserve">Category and subcategory analysis: </w:t>
      </w:r>
      <w:r>
        <w:t>Aggregated sales and profit by category and subcategory, then calculated profit margin as total profit divided by total sales.</w:t>
      </w:r>
    </w:p>
    <w:p>
      <w:pPr>
        <w:pStyle w:val="ListNumber"/>
        <w:spacing w:after="80"/>
      </w:pPr>
      <w:r>
        <w:rPr>
          <w:b/>
        </w:rPr>
        <w:t xml:space="preserve">Discount exploration: </w:t>
      </w:r>
      <w:r>
        <w:t>Compared total profit and profit margin across Furniture discount levels to identify patterns for further review.</w:t>
      </w:r>
    </w:p>
    <w:p>
      <w:pPr>
        <w:pStyle w:val="ListNumber"/>
        <w:spacing w:after="80"/>
      </w:pPr>
      <w:r>
        <w:rPr>
          <w:b/>
        </w:rPr>
        <w:t xml:space="preserve">Dashboard development: </w:t>
      </w:r>
      <w:r>
        <w:t>Built and published a Tableau Public dashboard with Sales by Product Category, Profit by Product Category, and Profit Margin by Product Category, alongside a key finding and business implication.</w:t>
      </w:r>
    </w:p>
    <w:p>
      <w:pPr>
        <w:pStyle w:val="Heading1"/>
      </w:pPr>
      <w:r>
        <w:t>5. Key performance indicators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Metric</w:t>
            </w:r>
          </w:p>
        </w:tc>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Result</w:t>
            </w:r>
          </w:p>
        </w:tc>
      </w:tr>
      <w:tr>
        <w:tc>
          <w:tcPr>
            <w:tcW w:type="dxa" w:w="4968"/>
            <w:vAlign w:val="center"/>
            <w:tcMar>
              <w:top w:w="70" w:type="dxa"/>
              <w:start w:w="90" w:type="dxa"/>
              <w:bottom w:w="70" w:type="dxa"/>
              <w:end w:w="90" w:type="dxa"/>
            </w:tcMar>
          </w:tcPr>
          <w:p>
            <w:pPr>
              <w:spacing w:after="0"/>
            </w:pPr>
            <w:r/>
            <w:r>
              <w:rPr>
                <w:rFonts w:ascii="Aptos" w:hAnsi="Aptos"/>
                <w:b/>
                <w:sz w:val="18"/>
              </w:rPr>
              <w:t>Total records</w:t>
            </w:r>
          </w:p>
        </w:tc>
        <w:tc>
          <w:tcPr>
            <w:tcW w:type="dxa" w:w="4968"/>
            <w:vAlign w:val="center"/>
            <w:tcMar>
              <w:top w:w="70" w:type="dxa"/>
              <w:start w:w="90" w:type="dxa"/>
              <w:bottom w:w="70" w:type="dxa"/>
              <w:end w:w="90" w:type="dxa"/>
            </w:tcMar>
          </w:tcPr>
          <w:p>
            <w:pPr>
              <w:spacing w:after="0"/>
            </w:pPr>
            <w:r/>
            <w:r>
              <w:rPr>
                <w:rFonts w:ascii="Aptos" w:hAnsi="Aptos"/>
                <w:b w:val="0"/>
                <w:sz w:val="18"/>
              </w:rPr>
              <w:t>51,290</w:t>
            </w:r>
          </w:p>
        </w:tc>
      </w:tr>
      <w:tr>
        <w:tc>
          <w:tcPr>
            <w:tcW w:type="dxa" w:w="4968"/>
            <w:vAlign w:val="center"/>
            <w:tcMar>
              <w:top w:w="70" w:type="dxa"/>
              <w:start w:w="90" w:type="dxa"/>
              <w:bottom w:w="70" w:type="dxa"/>
              <w:end w:w="90" w:type="dxa"/>
            </w:tcMar>
          </w:tcPr>
          <w:p>
            <w:pPr>
              <w:spacing w:after="0"/>
            </w:pPr>
            <w:r/>
            <w:r>
              <w:rPr>
                <w:rFonts w:ascii="Aptos" w:hAnsi="Aptos"/>
                <w:b/>
                <w:sz w:val="18"/>
              </w:rPr>
              <w:t>Total sales</w:t>
            </w:r>
          </w:p>
        </w:tc>
        <w:tc>
          <w:tcPr>
            <w:tcW w:type="dxa" w:w="4968"/>
            <w:vAlign w:val="center"/>
            <w:tcMar>
              <w:top w:w="70" w:type="dxa"/>
              <w:start w:w="90" w:type="dxa"/>
              <w:bottom w:w="70" w:type="dxa"/>
              <w:end w:w="90" w:type="dxa"/>
            </w:tcMar>
          </w:tcPr>
          <w:p>
            <w:pPr>
              <w:spacing w:after="0"/>
            </w:pPr>
            <w:r/>
            <w:r>
              <w:rPr>
                <w:rFonts w:ascii="Aptos" w:hAnsi="Aptos"/>
                <w:b w:val="0"/>
                <w:sz w:val="18"/>
              </w:rPr>
              <w:t>12,642,905.00</w:t>
            </w:r>
          </w:p>
        </w:tc>
      </w:tr>
      <w:tr>
        <w:tc>
          <w:tcPr>
            <w:tcW w:type="dxa" w:w="4968"/>
            <w:vAlign w:val="center"/>
            <w:tcMar>
              <w:top w:w="70" w:type="dxa"/>
              <w:start w:w="90" w:type="dxa"/>
              <w:bottom w:w="70" w:type="dxa"/>
              <w:end w:w="90" w:type="dxa"/>
            </w:tcMar>
          </w:tcPr>
          <w:p>
            <w:pPr>
              <w:spacing w:after="0"/>
            </w:pPr>
            <w:r/>
            <w:r>
              <w:rPr>
                <w:rFonts w:ascii="Aptos" w:hAnsi="Aptos"/>
                <w:b/>
                <w:sz w:val="18"/>
              </w:rPr>
              <w:t>Total profit</w:t>
            </w:r>
          </w:p>
        </w:tc>
        <w:tc>
          <w:tcPr>
            <w:tcW w:type="dxa" w:w="4968"/>
            <w:vAlign w:val="center"/>
            <w:tcMar>
              <w:top w:w="70" w:type="dxa"/>
              <w:start w:w="90" w:type="dxa"/>
              <w:bottom w:w="70" w:type="dxa"/>
              <w:end w:w="90" w:type="dxa"/>
            </w:tcMar>
          </w:tcPr>
          <w:p>
            <w:pPr>
              <w:spacing w:after="0"/>
            </w:pPr>
            <w:r/>
            <w:r>
              <w:rPr>
                <w:rFonts w:ascii="Aptos" w:hAnsi="Aptos"/>
                <w:b w:val="0"/>
                <w:sz w:val="18"/>
              </w:rPr>
              <w:t>1,469,034.82</w:t>
            </w:r>
          </w:p>
        </w:tc>
      </w:tr>
      <w:tr>
        <w:tc>
          <w:tcPr>
            <w:tcW w:type="dxa" w:w="4968"/>
            <w:vAlign w:val="center"/>
            <w:tcMar>
              <w:top w:w="70" w:type="dxa"/>
              <w:start w:w="90" w:type="dxa"/>
              <w:bottom w:w="70" w:type="dxa"/>
              <w:end w:w="90" w:type="dxa"/>
            </w:tcMar>
          </w:tcPr>
          <w:p>
            <w:pPr>
              <w:spacing w:after="0"/>
            </w:pPr>
            <w:r/>
            <w:r>
              <w:rPr>
                <w:rFonts w:ascii="Aptos" w:hAnsi="Aptos"/>
                <w:b/>
                <w:sz w:val="18"/>
              </w:rPr>
              <w:t>Total quantity</w:t>
            </w:r>
          </w:p>
        </w:tc>
        <w:tc>
          <w:tcPr>
            <w:tcW w:type="dxa" w:w="4968"/>
            <w:vAlign w:val="center"/>
            <w:tcMar>
              <w:top w:w="70" w:type="dxa"/>
              <w:start w:w="90" w:type="dxa"/>
              <w:bottom w:w="70" w:type="dxa"/>
              <w:end w:w="90" w:type="dxa"/>
            </w:tcMar>
          </w:tcPr>
          <w:p>
            <w:pPr>
              <w:spacing w:after="0"/>
            </w:pPr>
            <w:r/>
            <w:r>
              <w:rPr>
                <w:rFonts w:ascii="Aptos" w:hAnsi="Aptos"/>
                <w:b w:val="0"/>
                <w:sz w:val="18"/>
              </w:rPr>
              <w:t>178,312</w:t>
            </w:r>
          </w:p>
        </w:tc>
      </w:tr>
      <w:tr>
        <w:tc>
          <w:tcPr>
            <w:tcW w:type="dxa" w:w="4968"/>
            <w:vAlign w:val="center"/>
            <w:tcMar>
              <w:top w:w="70" w:type="dxa"/>
              <w:start w:w="90" w:type="dxa"/>
              <w:bottom w:w="70" w:type="dxa"/>
              <w:end w:w="90" w:type="dxa"/>
            </w:tcMar>
          </w:tcPr>
          <w:p>
            <w:pPr>
              <w:spacing w:after="0"/>
            </w:pPr>
            <w:r/>
            <w:r>
              <w:rPr>
                <w:rFonts w:ascii="Aptos" w:hAnsi="Aptos"/>
                <w:b/>
                <w:sz w:val="18"/>
              </w:rPr>
              <w:t>Overall profit margin</w:t>
            </w:r>
          </w:p>
        </w:tc>
        <w:tc>
          <w:tcPr>
            <w:tcW w:type="dxa" w:w="4968"/>
            <w:vAlign w:val="center"/>
            <w:tcMar>
              <w:top w:w="70" w:type="dxa"/>
              <w:start w:w="90" w:type="dxa"/>
              <w:bottom w:w="70" w:type="dxa"/>
              <w:end w:w="90" w:type="dxa"/>
            </w:tcMar>
          </w:tcPr>
          <w:p>
            <w:pPr>
              <w:spacing w:after="0"/>
            </w:pPr>
            <w:r/>
            <w:r>
              <w:rPr>
                <w:rFonts w:ascii="Aptos" w:hAnsi="Aptos"/>
                <w:b w:val="0"/>
                <w:sz w:val="18"/>
              </w:rPr>
              <w:t>11.62%</w:t>
            </w:r>
          </w:p>
        </w:tc>
      </w:tr>
      <w:tr>
        <w:tc>
          <w:tcPr>
            <w:tcW w:type="dxa" w:w="4968"/>
            <w:vAlign w:val="center"/>
            <w:tcMar>
              <w:top w:w="70" w:type="dxa"/>
              <w:start w:w="90" w:type="dxa"/>
              <w:bottom w:w="70" w:type="dxa"/>
              <w:end w:w="90" w:type="dxa"/>
            </w:tcMar>
          </w:tcPr>
          <w:p>
            <w:pPr>
              <w:spacing w:after="0"/>
            </w:pPr>
            <w:r/>
            <w:r>
              <w:rPr>
                <w:rFonts w:ascii="Aptos" w:hAnsi="Aptos"/>
                <w:b/>
                <w:sz w:val="18"/>
              </w:rPr>
              <w:t>Zero-profit records</w:t>
            </w:r>
          </w:p>
        </w:tc>
        <w:tc>
          <w:tcPr>
            <w:tcW w:type="dxa" w:w="4968"/>
            <w:vAlign w:val="center"/>
            <w:tcMar>
              <w:top w:w="70" w:type="dxa"/>
              <w:start w:w="90" w:type="dxa"/>
              <w:bottom w:w="70" w:type="dxa"/>
              <w:end w:w="90" w:type="dxa"/>
            </w:tcMar>
          </w:tcPr>
          <w:p>
            <w:pPr>
              <w:spacing w:after="0"/>
            </w:pPr>
            <w:r/>
            <w:r>
              <w:rPr>
                <w:rFonts w:ascii="Aptos" w:hAnsi="Aptos"/>
                <w:b w:val="0"/>
                <w:sz w:val="18"/>
              </w:rPr>
              <w:t>668</w:t>
            </w:r>
          </w:p>
        </w:tc>
      </w:tr>
    </w:tbl>
    <w:p>
      <w:r>
        <w:t>Calculation note: Overall profit margin is calculated as total profit divided by total sales, multiplied by 100. Totals are shown rounded for readability; the SQL result for total profit was approximately 1,469,034.821.</w:t>
      </w:r>
    </w:p>
    <w:p>
      <w:pPr>
        <w:pStyle w:val="Heading1"/>
      </w:pPr>
      <w:r>
        <w:t>6. Findings</w:t>
      </w:r>
    </w:p>
    <w:p>
      <w:pPr>
        <w:pStyle w:val="Heading2"/>
      </w:pPr>
      <w:r>
        <w:t>6.1 Category performance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Category</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Sales</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Profit</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Profit margin</w:t>
            </w:r>
          </w:p>
        </w:tc>
      </w:tr>
      <w:tr>
        <w:tc>
          <w:tcPr>
            <w:tcW w:type="dxa" w:w="2484"/>
            <w:vAlign w:val="center"/>
            <w:tcMar>
              <w:top w:w="70" w:type="dxa"/>
              <w:start w:w="90" w:type="dxa"/>
              <w:bottom w:w="70" w:type="dxa"/>
              <w:end w:w="90" w:type="dxa"/>
            </w:tcMar>
          </w:tcPr>
          <w:p>
            <w:pPr>
              <w:spacing w:after="0"/>
            </w:pPr>
            <w:r/>
            <w:r>
              <w:rPr>
                <w:rFonts w:ascii="Aptos" w:hAnsi="Aptos"/>
                <w:b/>
                <w:sz w:val="16"/>
              </w:rPr>
              <w:t>Furniture</w:t>
            </w:r>
          </w:p>
        </w:tc>
        <w:tc>
          <w:tcPr>
            <w:tcW w:type="dxa" w:w="2484"/>
            <w:vAlign w:val="center"/>
            <w:tcMar>
              <w:top w:w="70" w:type="dxa"/>
              <w:start w:w="90" w:type="dxa"/>
              <w:bottom w:w="70" w:type="dxa"/>
              <w:end w:w="90" w:type="dxa"/>
            </w:tcMar>
          </w:tcPr>
          <w:p>
            <w:pPr>
              <w:spacing w:after="0"/>
            </w:pPr>
            <w:r/>
            <w:r>
              <w:rPr>
                <w:rFonts w:ascii="Aptos" w:hAnsi="Aptos"/>
                <w:b w:val="0"/>
                <w:sz w:val="16"/>
              </w:rPr>
              <w:t>4,110,884</w:t>
            </w:r>
          </w:p>
        </w:tc>
        <w:tc>
          <w:tcPr>
            <w:tcW w:type="dxa" w:w="2484"/>
            <w:vAlign w:val="center"/>
            <w:tcMar>
              <w:top w:w="70" w:type="dxa"/>
              <w:start w:w="90" w:type="dxa"/>
              <w:bottom w:w="70" w:type="dxa"/>
              <w:end w:w="90" w:type="dxa"/>
            </w:tcMar>
          </w:tcPr>
          <w:p>
            <w:pPr>
              <w:spacing w:after="0"/>
            </w:pPr>
            <w:r/>
            <w:r>
              <w:rPr>
                <w:rFonts w:ascii="Aptos" w:hAnsi="Aptos"/>
                <w:b w:val="0"/>
                <w:sz w:val="16"/>
              </w:rPr>
              <w:t>286,782.25</w:t>
            </w:r>
          </w:p>
        </w:tc>
        <w:tc>
          <w:tcPr>
            <w:tcW w:type="dxa" w:w="2484"/>
            <w:vAlign w:val="center"/>
            <w:tcMar>
              <w:top w:w="70" w:type="dxa"/>
              <w:start w:w="90" w:type="dxa"/>
              <w:bottom w:w="70" w:type="dxa"/>
              <w:end w:w="90" w:type="dxa"/>
            </w:tcMar>
          </w:tcPr>
          <w:p>
            <w:pPr>
              <w:spacing w:after="0"/>
            </w:pPr>
            <w:r/>
            <w:r>
              <w:rPr>
                <w:rFonts w:ascii="Aptos" w:hAnsi="Aptos"/>
                <w:b w:val="0"/>
                <w:sz w:val="16"/>
              </w:rPr>
              <w:t>6.98%</w:t>
            </w:r>
          </w:p>
        </w:tc>
      </w:tr>
      <w:tr>
        <w:tc>
          <w:tcPr>
            <w:tcW w:type="dxa" w:w="2484"/>
            <w:vAlign w:val="center"/>
            <w:tcMar>
              <w:top w:w="70" w:type="dxa"/>
              <w:start w:w="90" w:type="dxa"/>
              <w:bottom w:w="70" w:type="dxa"/>
              <w:end w:w="90" w:type="dxa"/>
            </w:tcMar>
          </w:tcPr>
          <w:p>
            <w:pPr>
              <w:spacing w:after="0"/>
            </w:pPr>
            <w:r/>
            <w:r>
              <w:rPr>
                <w:rFonts w:ascii="Aptos" w:hAnsi="Aptos"/>
                <w:b/>
                <w:sz w:val="16"/>
              </w:rPr>
              <w:t>Office Supplies</w:t>
            </w:r>
          </w:p>
        </w:tc>
        <w:tc>
          <w:tcPr>
            <w:tcW w:type="dxa" w:w="2484"/>
            <w:vAlign w:val="center"/>
            <w:tcMar>
              <w:top w:w="70" w:type="dxa"/>
              <w:start w:w="90" w:type="dxa"/>
              <w:bottom w:w="70" w:type="dxa"/>
              <w:end w:w="90" w:type="dxa"/>
            </w:tcMar>
          </w:tcPr>
          <w:p>
            <w:pPr>
              <w:spacing w:after="0"/>
            </w:pPr>
            <w:r/>
            <w:r>
              <w:rPr>
                <w:rFonts w:ascii="Aptos" w:hAnsi="Aptos"/>
                <w:b w:val="0"/>
                <w:sz w:val="16"/>
              </w:rPr>
              <w:t>3,787,330</w:t>
            </w:r>
          </w:p>
        </w:tc>
        <w:tc>
          <w:tcPr>
            <w:tcW w:type="dxa" w:w="2484"/>
            <w:vAlign w:val="center"/>
            <w:tcMar>
              <w:top w:w="70" w:type="dxa"/>
              <w:start w:w="90" w:type="dxa"/>
              <w:bottom w:w="70" w:type="dxa"/>
              <w:end w:w="90" w:type="dxa"/>
            </w:tcMar>
          </w:tcPr>
          <w:p>
            <w:pPr>
              <w:spacing w:after="0"/>
            </w:pPr>
            <w:r/>
            <w:r>
              <w:rPr>
                <w:rFonts w:ascii="Aptos" w:hAnsi="Aptos"/>
                <w:b w:val="0"/>
                <w:sz w:val="16"/>
              </w:rPr>
              <w:t>518,473.83</w:t>
            </w:r>
          </w:p>
        </w:tc>
        <w:tc>
          <w:tcPr>
            <w:tcW w:type="dxa" w:w="2484"/>
            <w:vAlign w:val="center"/>
            <w:tcMar>
              <w:top w:w="70" w:type="dxa"/>
              <w:start w:w="90" w:type="dxa"/>
              <w:bottom w:w="70" w:type="dxa"/>
              <w:end w:w="90" w:type="dxa"/>
            </w:tcMar>
          </w:tcPr>
          <w:p>
            <w:pPr>
              <w:spacing w:after="0"/>
            </w:pPr>
            <w:r/>
            <w:r>
              <w:rPr>
                <w:rFonts w:ascii="Aptos" w:hAnsi="Aptos"/>
                <w:b w:val="0"/>
                <w:sz w:val="16"/>
              </w:rPr>
              <w:t>13.69%</w:t>
            </w:r>
          </w:p>
        </w:tc>
      </w:tr>
      <w:tr>
        <w:tc>
          <w:tcPr>
            <w:tcW w:type="dxa" w:w="2484"/>
            <w:vAlign w:val="center"/>
            <w:tcMar>
              <w:top w:w="70" w:type="dxa"/>
              <w:start w:w="90" w:type="dxa"/>
              <w:bottom w:w="70" w:type="dxa"/>
              <w:end w:w="90" w:type="dxa"/>
            </w:tcMar>
          </w:tcPr>
          <w:p>
            <w:pPr>
              <w:spacing w:after="0"/>
            </w:pPr>
            <w:r/>
            <w:r>
              <w:rPr>
                <w:rFonts w:ascii="Aptos" w:hAnsi="Aptos"/>
                <w:b/>
                <w:sz w:val="16"/>
              </w:rPr>
              <w:t>Technology</w:t>
            </w:r>
          </w:p>
        </w:tc>
        <w:tc>
          <w:tcPr>
            <w:tcW w:type="dxa" w:w="2484"/>
            <w:vAlign w:val="center"/>
            <w:tcMar>
              <w:top w:w="70" w:type="dxa"/>
              <w:start w:w="90" w:type="dxa"/>
              <w:bottom w:w="70" w:type="dxa"/>
              <w:end w:w="90" w:type="dxa"/>
            </w:tcMar>
          </w:tcPr>
          <w:p>
            <w:pPr>
              <w:spacing w:after="0"/>
            </w:pPr>
            <w:r/>
            <w:r>
              <w:rPr>
                <w:rFonts w:ascii="Aptos" w:hAnsi="Aptos"/>
                <w:b w:val="0"/>
                <w:sz w:val="16"/>
              </w:rPr>
              <w:t>4,744,691</w:t>
            </w:r>
          </w:p>
        </w:tc>
        <w:tc>
          <w:tcPr>
            <w:tcW w:type="dxa" w:w="2484"/>
            <w:vAlign w:val="center"/>
            <w:tcMar>
              <w:top w:w="70" w:type="dxa"/>
              <w:start w:w="90" w:type="dxa"/>
              <w:bottom w:w="70" w:type="dxa"/>
              <w:end w:w="90" w:type="dxa"/>
            </w:tcMar>
          </w:tcPr>
          <w:p>
            <w:pPr>
              <w:spacing w:after="0"/>
            </w:pPr>
            <w:r/>
            <w:r>
              <w:rPr>
                <w:rFonts w:ascii="Aptos" w:hAnsi="Aptos"/>
                <w:b w:val="0"/>
                <w:sz w:val="16"/>
              </w:rPr>
              <w:t>663,778.73</w:t>
            </w:r>
          </w:p>
        </w:tc>
        <w:tc>
          <w:tcPr>
            <w:tcW w:type="dxa" w:w="2484"/>
            <w:vAlign w:val="center"/>
            <w:tcMar>
              <w:top w:w="70" w:type="dxa"/>
              <w:start w:w="90" w:type="dxa"/>
              <w:bottom w:w="70" w:type="dxa"/>
              <w:end w:w="90" w:type="dxa"/>
            </w:tcMar>
          </w:tcPr>
          <w:p>
            <w:pPr>
              <w:spacing w:after="0"/>
            </w:pPr>
            <w:r/>
            <w:r>
              <w:rPr>
                <w:rFonts w:ascii="Aptos" w:hAnsi="Aptos"/>
                <w:b w:val="0"/>
                <w:sz w:val="16"/>
              </w:rPr>
              <w:t>13.99%</w:t>
            </w:r>
          </w:p>
        </w:tc>
      </w:tr>
    </w:tbl>
    <w:p>
      <w:r>
        <w:t>Technology had the highest total sales and profit, and the highest category profit margin (13.99%). Furniture generated substantial sales but had the lowest profit margin (6.98%), indicating that sales volume alone does not describe financial performance.</w:t>
      </w:r>
    </w:p>
    <w:p>
      <w:pPr>
        <w:pStyle w:val="Heading2"/>
      </w:pPr>
      <w:r>
        <w:t>6.2 Subcategory performance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Subcategory</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Sales</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Profit</w:t>
            </w:r>
          </w:p>
        </w:tc>
        <w:tc>
          <w:tcPr>
            <w:tcW w:type="dxa" w:w="2484"/>
            <w:vAlign w:val="center"/>
            <w:shd w:fill="1C3752"/>
            <w:tcMar>
              <w:top w:w="70" w:type="dxa"/>
              <w:start w:w="90" w:type="dxa"/>
              <w:bottom w:w="70" w:type="dxa"/>
              <w:end w:w="90" w:type="dxa"/>
            </w:tcMar>
          </w:tcPr>
          <w:p>
            <w:pPr>
              <w:spacing w:after="0"/>
            </w:pPr>
            <w:r/>
            <w:r>
              <w:rPr>
                <w:rFonts w:ascii="Aptos" w:hAnsi="Aptos"/>
                <w:b/>
                <w:color w:val="FFFFFF"/>
                <w:sz w:val="16"/>
              </w:rPr>
              <w:t>Profit margin</w:t>
            </w:r>
          </w:p>
        </w:tc>
      </w:tr>
      <w:tr>
        <w:tc>
          <w:tcPr>
            <w:tcW w:type="dxa" w:w="2484"/>
            <w:vAlign w:val="center"/>
            <w:tcMar>
              <w:top w:w="70" w:type="dxa"/>
              <w:start w:w="90" w:type="dxa"/>
              <w:bottom w:w="70" w:type="dxa"/>
              <w:end w:w="90" w:type="dxa"/>
            </w:tcMar>
          </w:tcPr>
          <w:p>
            <w:pPr>
              <w:spacing w:after="0"/>
            </w:pPr>
            <w:r/>
            <w:r>
              <w:rPr>
                <w:rFonts w:ascii="Aptos" w:hAnsi="Aptos"/>
                <w:b/>
                <w:sz w:val="16"/>
              </w:rPr>
              <w:t>Copiers</w:t>
            </w:r>
          </w:p>
        </w:tc>
        <w:tc>
          <w:tcPr>
            <w:tcW w:type="dxa" w:w="2484"/>
            <w:vAlign w:val="center"/>
            <w:tcMar>
              <w:top w:w="70" w:type="dxa"/>
              <w:start w:w="90" w:type="dxa"/>
              <w:bottom w:w="70" w:type="dxa"/>
              <w:end w:w="90" w:type="dxa"/>
            </w:tcMar>
          </w:tcPr>
          <w:p>
            <w:pPr>
              <w:spacing w:after="0"/>
            </w:pPr>
            <w:r/>
            <w:r>
              <w:rPr>
                <w:rFonts w:ascii="Aptos" w:hAnsi="Aptos"/>
                <w:b w:val="0"/>
                <w:sz w:val="16"/>
              </w:rPr>
              <w:t>1,509,439</w:t>
            </w:r>
          </w:p>
        </w:tc>
        <w:tc>
          <w:tcPr>
            <w:tcW w:type="dxa" w:w="2484"/>
            <w:vAlign w:val="center"/>
            <w:tcMar>
              <w:top w:w="70" w:type="dxa"/>
              <w:start w:w="90" w:type="dxa"/>
              <w:bottom w:w="70" w:type="dxa"/>
              <w:end w:w="90" w:type="dxa"/>
            </w:tcMar>
          </w:tcPr>
          <w:p>
            <w:pPr>
              <w:spacing w:after="0"/>
            </w:pPr>
            <w:r/>
            <w:r>
              <w:rPr>
                <w:rFonts w:ascii="Aptos" w:hAnsi="Aptos"/>
                <w:b w:val="0"/>
                <w:sz w:val="16"/>
              </w:rPr>
              <w:t>258,567.55</w:t>
            </w:r>
          </w:p>
        </w:tc>
        <w:tc>
          <w:tcPr>
            <w:tcW w:type="dxa" w:w="2484"/>
            <w:vAlign w:val="center"/>
            <w:tcMar>
              <w:top w:w="70" w:type="dxa"/>
              <w:start w:w="90" w:type="dxa"/>
              <w:bottom w:w="70" w:type="dxa"/>
              <w:end w:w="90" w:type="dxa"/>
            </w:tcMar>
          </w:tcPr>
          <w:p>
            <w:pPr>
              <w:spacing w:after="0"/>
            </w:pPr>
            <w:r/>
            <w:r>
              <w:rPr>
                <w:rFonts w:ascii="Aptos" w:hAnsi="Aptos"/>
                <w:b w:val="0"/>
                <w:sz w:val="16"/>
              </w:rPr>
              <w:t>17.13%</w:t>
            </w:r>
          </w:p>
        </w:tc>
      </w:tr>
      <w:tr>
        <w:tc>
          <w:tcPr>
            <w:tcW w:type="dxa" w:w="2484"/>
            <w:vAlign w:val="center"/>
            <w:tcMar>
              <w:top w:w="70" w:type="dxa"/>
              <w:start w:w="90" w:type="dxa"/>
              <w:bottom w:w="70" w:type="dxa"/>
              <w:end w:w="90" w:type="dxa"/>
            </w:tcMar>
          </w:tcPr>
          <w:p>
            <w:pPr>
              <w:spacing w:after="0"/>
            </w:pPr>
            <w:r/>
            <w:r>
              <w:rPr>
                <w:rFonts w:ascii="Aptos" w:hAnsi="Aptos"/>
                <w:b/>
                <w:sz w:val="16"/>
              </w:rPr>
              <w:t>Phones</w:t>
            </w:r>
          </w:p>
        </w:tc>
        <w:tc>
          <w:tcPr>
            <w:tcW w:type="dxa" w:w="2484"/>
            <w:vAlign w:val="center"/>
            <w:tcMar>
              <w:top w:w="70" w:type="dxa"/>
              <w:start w:w="90" w:type="dxa"/>
              <w:bottom w:w="70" w:type="dxa"/>
              <w:end w:w="90" w:type="dxa"/>
            </w:tcMar>
          </w:tcPr>
          <w:p>
            <w:pPr>
              <w:spacing w:after="0"/>
            </w:pPr>
            <w:r/>
            <w:r>
              <w:rPr>
                <w:rFonts w:ascii="Aptos" w:hAnsi="Aptos"/>
                <w:b w:val="0"/>
                <w:sz w:val="16"/>
              </w:rPr>
              <w:t>1,706,874</w:t>
            </w:r>
          </w:p>
        </w:tc>
        <w:tc>
          <w:tcPr>
            <w:tcW w:type="dxa" w:w="2484"/>
            <w:vAlign w:val="center"/>
            <w:tcMar>
              <w:top w:w="70" w:type="dxa"/>
              <w:start w:w="90" w:type="dxa"/>
              <w:bottom w:w="70" w:type="dxa"/>
              <w:end w:w="90" w:type="dxa"/>
            </w:tcMar>
          </w:tcPr>
          <w:p>
            <w:pPr>
              <w:spacing w:after="0"/>
            </w:pPr>
            <w:r/>
            <w:r>
              <w:rPr>
                <w:rFonts w:ascii="Aptos" w:hAnsi="Aptos"/>
                <w:b w:val="0"/>
                <w:sz w:val="16"/>
              </w:rPr>
              <w:t>216,717.01</w:t>
            </w:r>
          </w:p>
        </w:tc>
        <w:tc>
          <w:tcPr>
            <w:tcW w:type="dxa" w:w="2484"/>
            <w:vAlign w:val="center"/>
            <w:tcMar>
              <w:top w:w="70" w:type="dxa"/>
              <w:start w:w="90" w:type="dxa"/>
              <w:bottom w:w="70" w:type="dxa"/>
              <w:end w:w="90" w:type="dxa"/>
            </w:tcMar>
          </w:tcPr>
          <w:p>
            <w:pPr>
              <w:spacing w:after="0"/>
            </w:pPr>
            <w:r/>
            <w:r>
              <w:rPr>
                <w:rFonts w:ascii="Aptos" w:hAnsi="Aptos"/>
                <w:b w:val="0"/>
                <w:sz w:val="16"/>
              </w:rPr>
              <w:t>12.70%</w:t>
            </w:r>
          </w:p>
        </w:tc>
      </w:tr>
      <w:tr>
        <w:tc>
          <w:tcPr>
            <w:tcW w:type="dxa" w:w="2484"/>
            <w:vAlign w:val="center"/>
            <w:tcMar>
              <w:top w:w="70" w:type="dxa"/>
              <w:start w:w="90" w:type="dxa"/>
              <w:bottom w:w="70" w:type="dxa"/>
              <w:end w:w="90" w:type="dxa"/>
            </w:tcMar>
          </w:tcPr>
          <w:p>
            <w:pPr>
              <w:spacing w:after="0"/>
            </w:pPr>
            <w:r/>
            <w:r>
              <w:rPr>
                <w:rFonts w:ascii="Aptos" w:hAnsi="Aptos"/>
                <w:b/>
                <w:sz w:val="16"/>
              </w:rPr>
              <w:t>Paper</w:t>
            </w:r>
          </w:p>
        </w:tc>
        <w:tc>
          <w:tcPr>
            <w:tcW w:type="dxa" w:w="2484"/>
            <w:vAlign w:val="center"/>
            <w:tcMar>
              <w:top w:w="70" w:type="dxa"/>
              <w:start w:w="90" w:type="dxa"/>
              <w:bottom w:w="70" w:type="dxa"/>
              <w:end w:w="90" w:type="dxa"/>
            </w:tcMar>
          </w:tcPr>
          <w:p>
            <w:pPr>
              <w:spacing w:after="0"/>
            </w:pPr>
            <w:r/>
            <w:r>
              <w:rPr>
                <w:rFonts w:ascii="Aptos" w:hAnsi="Aptos"/>
                <w:b w:val="0"/>
                <w:sz w:val="16"/>
              </w:rPr>
              <w:t>244,307</w:t>
            </w:r>
          </w:p>
        </w:tc>
        <w:tc>
          <w:tcPr>
            <w:tcW w:type="dxa" w:w="2484"/>
            <w:vAlign w:val="center"/>
            <w:tcMar>
              <w:top w:w="70" w:type="dxa"/>
              <w:start w:w="90" w:type="dxa"/>
              <w:bottom w:w="70" w:type="dxa"/>
              <w:end w:w="90" w:type="dxa"/>
            </w:tcMar>
          </w:tcPr>
          <w:p>
            <w:pPr>
              <w:spacing w:after="0"/>
            </w:pPr>
            <w:r/>
            <w:r>
              <w:rPr>
                <w:rFonts w:ascii="Aptos" w:hAnsi="Aptos"/>
                <w:b w:val="0"/>
                <w:sz w:val="16"/>
              </w:rPr>
              <w:t>59,207.68</w:t>
            </w:r>
          </w:p>
        </w:tc>
        <w:tc>
          <w:tcPr>
            <w:tcW w:type="dxa" w:w="2484"/>
            <w:vAlign w:val="center"/>
            <w:tcMar>
              <w:top w:w="70" w:type="dxa"/>
              <w:start w:w="90" w:type="dxa"/>
              <w:bottom w:w="70" w:type="dxa"/>
              <w:end w:w="90" w:type="dxa"/>
            </w:tcMar>
          </w:tcPr>
          <w:p>
            <w:pPr>
              <w:spacing w:after="0"/>
            </w:pPr>
            <w:r/>
            <w:r>
              <w:rPr>
                <w:rFonts w:ascii="Aptos" w:hAnsi="Aptos"/>
                <w:b w:val="0"/>
                <w:sz w:val="16"/>
              </w:rPr>
              <w:t>24.23%</w:t>
            </w:r>
          </w:p>
        </w:tc>
      </w:tr>
      <w:tr>
        <w:tc>
          <w:tcPr>
            <w:tcW w:type="dxa" w:w="2484"/>
            <w:vAlign w:val="center"/>
            <w:tcMar>
              <w:top w:w="70" w:type="dxa"/>
              <w:start w:w="90" w:type="dxa"/>
              <w:bottom w:w="70" w:type="dxa"/>
              <w:end w:w="90" w:type="dxa"/>
            </w:tcMar>
          </w:tcPr>
          <w:p>
            <w:pPr>
              <w:spacing w:after="0"/>
            </w:pPr>
            <w:r/>
            <w:r>
              <w:rPr>
                <w:rFonts w:ascii="Aptos" w:hAnsi="Aptos"/>
                <w:b/>
                <w:sz w:val="16"/>
              </w:rPr>
              <w:t>Tables</w:t>
            </w:r>
          </w:p>
        </w:tc>
        <w:tc>
          <w:tcPr>
            <w:tcW w:type="dxa" w:w="2484"/>
            <w:vAlign w:val="center"/>
            <w:tcMar>
              <w:top w:w="70" w:type="dxa"/>
              <w:start w:w="90" w:type="dxa"/>
              <w:bottom w:w="70" w:type="dxa"/>
              <w:end w:w="90" w:type="dxa"/>
            </w:tcMar>
          </w:tcPr>
          <w:p>
            <w:pPr>
              <w:spacing w:after="0"/>
            </w:pPr>
            <w:r/>
            <w:r>
              <w:rPr>
                <w:rFonts w:ascii="Aptos" w:hAnsi="Aptos"/>
                <w:b w:val="0"/>
                <w:sz w:val="16"/>
              </w:rPr>
              <w:t>757,034</w:t>
            </w:r>
          </w:p>
        </w:tc>
        <w:tc>
          <w:tcPr>
            <w:tcW w:type="dxa" w:w="2484"/>
            <w:vAlign w:val="center"/>
            <w:tcMar>
              <w:top w:w="70" w:type="dxa"/>
              <w:start w:w="90" w:type="dxa"/>
              <w:bottom w:w="70" w:type="dxa"/>
              <w:end w:w="90" w:type="dxa"/>
            </w:tcMar>
          </w:tcPr>
          <w:p>
            <w:pPr>
              <w:spacing w:after="0"/>
            </w:pPr>
            <w:r/>
            <w:r>
              <w:rPr>
                <w:rFonts w:ascii="Aptos" w:hAnsi="Aptos"/>
                <w:b w:val="0"/>
                <w:sz w:val="16"/>
              </w:rPr>
              <w:t>−64,083.39</w:t>
            </w:r>
          </w:p>
        </w:tc>
        <w:tc>
          <w:tcPr>
            <w:tcW w:type="dxa" w:w="2484"/>
            <w:vAlign w:val="center"/>
            <w:tcMar>
              <w:top w:w="70" w:type="dxa"/>
              <w:start w:w="90" w:type="dxa"/>
              <w:bottom w:w="70" w:type="dxa"/>
              <w:end w:w="90" w:type="dxa"/>
            </w:tcMar>
          </w:tcPr>
          <w:p>
            <w:pPr>
              <w:spacing w:after="0"/>
            </w:pPr>
            <w:r/>
            <w:r>
              <w:rPr>
                <w:rFonts w:ascii="Aptos" w:hAnsi="Aptos"/>
                <w:b w:val="0"/>
                <w:sz w:val="16"/>
              </w:rPr>
              <w:t>−8.47%</w:t>
            </w:r>
          </w:p>
        </w:tc>
      </w:tr>
    </w:tbl>
    <w:p>
      <w:r>
        <w:t>Copiers generated the highest total profit among subcategories, while Paper had the highest profit margin in the reviewed results. Tables was the only subcategory with negative overall profit, losing approximately 64,083.39 on sales of approximately 757,034.</w:t>
      </w:r>
    </w:p>
    <w:p>
      <w:r>
        <w:t>Looking at subcategories helps reveal issues that can be hidden by category-level totals. They do not, by themselves, explain the causes of losses or establish that a particular product or discount policy should be changed without further investigation.</w:t>
      </w:r>
    </w:p>
    <w:p>
      <w:pPr>
        <w:pStyle w:val="Heading2"/>
      </w:pPr>
      <w:r>
        <w:t>6.3 Furniture discount patterns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C3752"/>
            <w:tcMar>
              <w:top w:w="70" w:type="dxa"/>
              <w:start w:w="90" w:type="dxa"/>
              <w:bottom w:w="70" w:type="dxa"/>
              <w:end w:w="90" w:type="dxa"/>
            </w:tcMar>
          </w:tcPr>
          <w:p>
            <w:pPr>
              <w:spacing w:after="0"/>
            </w:pPr>
            <w:r/>
            <w:r>
              <w:rPr>
                <w:rFonts w:ascii="Aptos" w:hAnsi="Aptos"/>
                <w:b/>
                <w:color w:val="FFFFFF"/>
                <w:sz w:val="16"/>
              </w:rPr>
              <w:t>Furniture discount</w:t>
            </w:r>
          </w:p>
        </w:tc>
        <w:tc>
          <w:tcPr>
            <w:tcW w:type="dxa" w:w="3312"/>
            <w:vAlign w:val="center"/>
            <w:shd w:fill="1C3752"/>
            <w:tcMar>
              <w:top w:w="70" w:type="dxa"/>
              <w:start w:w="90" w:type="dxa"/>
              <w:bottom w:w="70" w:type="dxa"/>
              <w:end w:w="90" w:type="dxa"/>
            </w:tcMar>
          </w:tcPr>
          <w:p>
            <w:pPr>
              <w:spacing w:after="0"/>
            </w:pPr>
            <w:r/>
            <w:r>
              <w:rPr>
                <w:rFonts w:ascii="Aptos" w:hAnsi="Aptos"/>
                <w:b/>
                <w:color w:val="FFFFFF"/>
                <w:sz w:val="16"/>
              </w:rPr>
              <w:t>Profit</w:t>
            </w:r>
          </w:p>
        </w:tc>
        <w:tc>
          <w:tcPr>
            <w:tcW w:type="dxa" w:w="3312"/>
            <w:vAlign w:val="center"/>
            <w:shd w:fill="1C3752"/>
            <w:tcMar>
              <w:top w:w="70" w:type="dxa"/>
              <w:start w:w="90" w:type="dxa"/>
              <w:bottom w:w="70" w:type="dxa"/>
              <w:end w:w="90" w:type="dxa"/>
            </w:tcMar>
          </w:tcPr>
          <w:p>
            <w:pPr>
              <w:spacing w:after="0"/>
            </w:pPr>
            <w:r/>
            <w:r>
              <w:rPr>
                <w:rFonts w:ascii="Aptos" w:hAnsi="Aptos"/>
                <w:b/>
                <w:color w:val="FFFFFF"/>
                <w:sz w:val="16"/>
              </w:rPr>
              <w:t>Profit margin</w:t>
            </w:r>
          </w:p>
        </w:tc>
      </w:tr>
      <w:tr>
        <w:tc>
          <w:tcPr>
            <w:tcW w:type="dxa" w:w="3312"/>
            <w:vAlign w:val="center"/>
            <w:tcMar>
              <w:top w:w="70" w:type="dxa"/>
              <w:start w:w="90" w:type="dxa"/>
              <w:bottom w:w="70" w:type="dxa"/>
              <w:end w:w="90" w:type="dxa"/>
            </w:tcMar>
          </w:tcPr>
          <w:p>
            <w:pPr>
              <w:spacing w:after="0"/>
            </w:pPr>
            <w:r/>
            <w:r>
              <w:rPr>
                <w:rFonts w:ascii="Aptos" w:hAnsi="Aptos"/>
                <w:b/>
                <w:sz w:val="16"/>
              </w:rPr>
              <w:t>0%</w:t>
            </w:r>
          </w:p>
        </w:tc>
        <w:tc>
          <w:tcPr>
            <w:tcW w:type="dxa" w:w="3312"/>
            <w:vAlign w:val="center"/>
            <w:tcMar>
              <w:top w:w="70" w:type="dxa"/>
              <w:start w:w="90" w:type="dxa"/>
              <w:bottom w:w="70" w:type="dxa"/>
              <w:end w:w="90" w:type="dxa"/>
            </w:tcMar>
          </w:tcPr>
          <w:p>
            <w:pPr>
              <w:spacing w:after="0"/>
            </w:pPr>
            <w:r/>
            <w:r>
              <w:rPr>
                <w:rFonts w:ascii="Aptos" w:hAnsi="Aptos"/>
                <w:b w:val="0"/>
                <w:sz w:val="16"/>
              </w:rPr>
              <w:t>465,612.96</w:t>
            </w:r>
          </w:p>
        </w:tc>
        <w:tc>
          <w:tcPr>
            <w:tcW w:type="dxa" w:w="3312"/>
            <w:vAlign w:val="center"/>
            <w:tcMar>
              <w:top w:w="70" w:type="dxa"/>
              <w:start w:w="90" w:type="dxa"/>
              <w:bottom w:w="70" w:type="dxa"/>
              <w:end w:w="90" w:type="dxa"/>
            </w:tcMar>
          </w:tcPr>
          <w:p>
            <w:pPr>
              <w:spacing w:after="0"/>
            </w:pPr>
            <w:r/>
            <w:r>
              <w:rPr>
                <w:rFonts w:ascii="Aptos" w:hAnsi="Aptos"/>
                <w:b w:val="0"/>
                <w:sz w:val="16"/>
              </w:rPr>
              <w:t>24.19%</w:t>
            </w:r>
          </w:p>
        </w:tc>
      </w:tr>
      <w:tr>
        <w:tc>
          <w:tcPr>
            <w:tcW w:type="dxa" w:w="3312"/>
            <w:vAlign w:val="center"/>
            <w:tcMar>
              <w:top w:w="70" w:type="dxa"/>
              <w:start w:w="90" w:type="dxa"/>
              <w:bottom w:w="70" w:type="dxa"/>
              <w:end w:w="90" w:type="dxa"/>
            </w:tcMar>
          </w:tcPr>
          <w:p>
            <w:pPr>
              <w:spacing w:after="0"/>
            </w:pPr>
            <w:r/>
            <w:r>
              <w:rPr>
                <w:rFonts w:ascii="Aptos" w:hAnsi="Aptos"/>
                <w:b/>
                <w:sz w:val="16"/>
              </w:rPr>
              <w:t>20%</w:t>
            </w:r>
          </w:p>
        </w:tc>
        <w:tc>
          <w:tcPr>
            <w:tcW w:type="dxa" w:w="3312"/>
            <w:vAlign w:val="center"/>
            <w:tcMar>
              <w:top w:w="70" w:type="dxa"/>
              <w:start w:w="90" w:type="dxa"/>
              <w:bottom w:w="70" w:type="dxa"/>
              <w:end w:w="90" w:type="dxa"/>
            </w:tcMar>
          </w:tcPr>
          <w:p>
            <w:pPr>
              <w:spacing w:after="0"/>
            </w:pPr>
            <w:r/>
            <w:r>
              <w:rPr>
                <w:rFonts w:ascii="Aptos" w:hAnsi="Aptos"/>
                <w:b w:val="0"/>
                <w:sz w:val="16"/>
              </w:rPr>
              <w:t>26,574.16</w:t>
            </w:r>
          </w:p>
        </w:tc>
        <w:tc>
          <w:tcPr>
            <w:tcW w:type="dxa" w:w="3312"/>
            <w:vAlign w:val="center"/>
            <w:tcMar>
              <w:top w:w="70" w:type="dxa"/>
              <w:start w:w="90" w:type="dxa"/>
              <w:bottom w:w="70" w:type="dxa"/>
              <w:end w:w="90" w:type="dxa"/>
            </w:tcMar>
          </w:tcPr>
          <w:p>
            <w:pPr>
              <w:spacing w:after="0"/>
            </w:pPr>
            <w:r/>
            <w:r>
              <w:rPr>
                <w:rFonts w:ascii="Aptos" w:hAnsi="Aptos"/>
                <w:b w:val="0"/>
                <w:sz w:val="16"/>
              </w:rPr>
              <w:t>4.59%</w:t>
            </w:r>
          </w:p>
        </w:tc>
      </w:tr>
      <w:tr>
        <w:tc>
          <w:tcPr>
            <w:tcW w:type="dxa" w:w="3312"/>
            <w:vAlign w:val="center"/>
            <w:tcMar>
              <w:top w:w="70" w:type="dxa"/>
              <w:start w:w="90" w:type="dxa"/>
              <w:bottom w:w="70" w:type="dxa"/>
              <w:end w:w="90" w:type="dxa"/>
            </w:tcMar>
          </w:tcPr>
          <w:p>
            <w:pPr>
              <w:spacing w:after="0"/>
            </w:pPr>
            <w:r/>
            <w:r>
              <w:rPr>
                <w:rFonts w:ascii="Aptos" w:hAnsi="Aptos"/>
                <w:b/>
                <w:sz w:val="16"/>
              </w:rPr>
              <w:t>30%</w:t>
            </w:r>
          </w:p>
        </w:tc>
        <w:tc>
          <w:tcPr>
            <w:tcW w:type="dxa" w:w="3312"/>
            <w:vAlign w:val="center"/>
            <w:tcMar>
              <w:top w:w="70" w:type="dxa"/>
              <w:start w:w="90" w:type="dxa"/>
              <w:bottom w:w="70" w:type="dxa"/>
              <w:end w:w="90" w:type="dxa"/>
            </w:tcMar>
          </w:tcPr>
          <w:p>
            <w:pPr>
              <w:spacing w:after="0"/>
            </w:pPr>
            <w:r/>
            <w:r>
              <w:rPr>
                <w:rFonts w:ascii="Aptos" w:hAnsi="Aptos"/>
                <w:b w:val="0"/>
                <w:sz w:val="16"/>
              </w:rPr>
              <w:t>−20,011.89</w:t>
            </w:r>
          </w:p>
        </w:tc>
        <w:tc>
          <w:tcPr>
            <w:tcW w:type="dxa" w:w="3312"/>
            <w:vAlign w:val="center"/>
            <w:tcMar>
              <w:top w:w="70" w:type="dxa"/>
              <w:start w:w="90" w:type="dxa"/>
              <w:bottom w:w="70" w:type="dxa"/>
              <w:end w:w="90" w:type="dxa"/>
            </w:tcMar>
          </w:tcPr>
          <w:p>
            <w:pPr>
              <w:spacing w:after="0"/>
            </w:pPr>
            <w:r/>
            <w:r>
              <w:rPr>
                <w:rFonts w:ascii="Aptos" w:hAnsi="Aptos"/>
                <w:b w:val="0"/>
                <w:sz w:val="16"/>
              </w:rPr>
              <w:t>−10.81%</w:t>
            </w:r>
          </w:p>
        </w:tc>
      </w:tr>
      <w:tr>
        <w:tc>
          <w:tcPr>
            <w:tcW w:type="dxa" w:w="3312"/>
            <w:vAlign w:val="center"/>
            <w:tcMar>
              <w:top w:w="70" w:type="dxa"/>
              <w:start w:w="90" w:type="dxa"/>
              <w:bottom w:w="70" w:type="dxa"/>
              <w:end w:w="90" w:type="dxa"/>
            </w:tcMar>
          </w:tcPr>
          <w:p>
            <w:pPr>
              <w:spacing w:after="0"/>
            </w:pPr>
            <w:r/>
            <w:r>
              <w:rPr>
                <w:rFonts w:ascii="Aptos" w:hAnsi="Aptos"/>
                <w:b/>
                <w:sz w:val="16"/>
              </w:rPr>
              <w:t>40%</w:t>
            </w:r>
          </w:p>
        </w:tc>
        <w:tc>
          <w:tcPr>
            <w:tcW w:type="dxa" w:w="3312"/>
            <w:vAlign w:val="center"/>
            <w:tcMar>
              <w:top w:w="70" w:type="dxa"/>
              <w:start w:w="90" w:type="dxa"/>
              <w:bottom w:w="70" w:type="dxa"/>
              <w:end w:w="90" w:type="dxa"/>
            </w:tcMar>
          </w:tcPr>
          <w:p>
            <w:pPr>
              <w:spacing w:after="0"/>
            </w:pPr>
            <w:r/>
            <w:r>
              <w:rPr>
                <w:rFonts w:ascii="Aptos" w:hAnsi="Aptos"/>
                <w:b w:val="0"/>
                <w:sz w:val="16"/>
              </w:rPr>
              <w:t>−61,464.32</w:t>
            </w:r>
          </w:p>
        </w:tc>
        <w:tc>
          <w:tcPr>
            <w:tcW w:type="dxa" w:w="3312"/>
            <w:vAlign w:val="center"/>
            <w:tcMar>
              <w:top w:w="70" w:type="dxa"/>
              <w:start w:w="90" w:type="dxa"/>
              <w:bottom w:w="70" w:type="dxa"/>
              <w:end w:w="90" w:type="dxa"/>
            </w:tcMar>
          </w:tcPr>
          <w:p>
            <w:pPr>
              <w:spacing w:after="0"/>
            </w:pPr>
            <w:r/>
            <w:r>
              <w:rPr>
                <w:rFonts w:ascii="Aptos" w:hAnsi="Aptos"/>
                <w:b w:val="0"/>
                <w:sz w:val="16"/>
              </w:rPr>
              <w:t>−29.72%</w:t>
            </w:r>
          </w:p>
        </w:tc>
      </w:tr>
      <w:tr>
        <w:tc>
          <w:tcPr>
            <w:tcW w:type="dxa" w:w="3312"/>
            <w:vAlign w:val="center"/>
            <w:tcMar>
              <w:top w:w="70" w:type="dxa"/>
              <w:start w:w="90" w:type="dxa"/>
              <w:bottom w:w="70" w:type="dxa"/>
              <w:end w:w="90" w:type="dxa"/>
            </w:tcMar>
          </w:tcPr>
          <w:p>
            <w:pPr>
              <w:spacing w:after="0"/>
            </w:pPr>
            <w:r/>
            <w:r>
              <w:rPr>
                <w:rFonts w:ascii="Aptos" w:hAnsi="Aptos"/>
                <w:b/>
                <w:sz w:val="16"/>
              </w:rPr>
              <w:t>50%</w:t>
            </w:r>
          </w:p>
        </w:tc>
        <w:tc>
          <w:tcPr>
            <w:tcW w:type="dxa" w:w="3312"/>
            <w:vAlign w:val="center"/>
            <w:tcMar>
              <w:top w:w="70" w:type="dxa"/>
              <w:start w:w="90" w:type="dxa"/>
              <w:bottom w:w="70" w:type="dxa"/>
              <w:end w:w="90" w:type="dxa"/>
            </w:tcMar>
          </w:tcPr>
          <w:p>
            <w:pPr>
              <w:spacing w:after="0"/>
            </w:pPr>
            <w:r/>
            <w:r>
              <w:rPr>
                <w:rFonts w:ascii="Aptos" w:hAnsi="Aptos"/>
                <w:b w:val="0"/>
                <w:sz w:val="16"/>
              </w:rPr>
              <w:t>−47,347.33</w:t>
            </w:r>
          </w:p>
        </w:tc>
        <w:tc>
          <w:tcPr>
            <w:tcW w:type="dxa" w:w="3312"/>
            <w:vAlign w:val="center"/>
            <w:tcMar>
              <w:top w:w="70" w:type="dxa"/>
              <w:start w:w="90" w:type="dxa"/>
              <w:bottom w:w="70" w:type="dxa"/>
              <w:end w:w="90" w:type="dxa"/>
            </w:tcMar>
          </w:tcPr>
          <w:p>
            <w:pPr>
              <w:spacing w:after="0"/>
            </w:pPr>
            <w:r/>
            <w:r>
              <w:rPr>
                <w:rFonts w:ascii="Aptos" w:hAnsi="Aptos"/>
                <w:b w:val="0"/>
                <w:sz w:val="16"/>
              </w:rPr>
              <w:t>−54.26%</w:t>
            </w:r>
          </w:p>
        </w:tc>
      </w:tr>
      <w:tr>
        <w:tc>
          <w:tcPr>
            <w:tcW w:type="dxa" w:w="3312"/>
            <w:vAlign w:val="center"/>
            <w:tcMar>
              <w:top w:w="70" w:type="dxa"/>
              <w:start w:w="90" w:type="dxa"/>
              <w:bottom w:w="70" w:type="dxa"/>
              <w:end w:w="90" w:type="dxa"/>
            </w:tcMar>
          </w:tcPr>
          <w:p>
            <w:pPr>
              <w:spacing w:after="0"/>
            </w:pPr>
            <w:r/>
            <w:r>
              <w:rPr>
                <w:rFonts w:ascii="Aptos" w:hAnsi="Aptos"/>
                <w:b/>
                <w:sz w:val="16"/>
              </w:rPr>
              <w:t>70%</w:t>
            </w:r>
          </w:p>
        </w:tc>
        <w:tc>
          <w:tcPr>
            <w:tcW w:type="dxa" w:w="3312"/>
            <w:vAlign w:val="center"/>
            <w:tcMar>
              <w:top w:w="70" w:type="dxa"/>
              <w:start w:w="90" w:type="dxa"/>
              <w:bottom w:w="70" w:type="dxa"/>
              <w:end w:w="90" w:type="dxa"/>
            </w:tcMar>
          </w:tcPr>
          <w:p>
            <w:pPr>
              <w:spacing w:after="0"/>
            </w:pPr>
            <w:r/>
            <w:r>
              <w:rPr>
                <w:rFonts w:ascii="Aptos" w:hAnsi="Aptos"/>
                <w:b w:val="0"/>
                <w:sz w:val="16"/>
              </w:rPr>
              <w:t>−67,210.92</w:t>
            </w:r>
          </w:p>
        </w:tc>
        <w:tc>
          <w:tcPr>
            <w:tcW w:type="dxa" w:w="3312"/>
            <w:vAlign w:val="center"/>
            <w:tcMar>
              <w:top w:w="70" w:type="dxa"/>
              <w:start w:w="90" w:type="dxa"/>
              <w:bottom w:w="70" w:type="dxa"/>
              <w:end w:w="90" w:type="dxa"/>
            </w:tcMar>
          </w:tcPr>
          <w:p>
            <w:pPr>
              <w:spacing w:after="0"/>
            </w:pPr>
            <w:r/>
            <w:r>
              <w:rPr>
                <w:rFonts w:ascii="Aptos" w:hAnsi="Aptos"/>
                <w:b w:val="0"/>
                <w:sz w:val="16"/>
              </w:rPr>
              <w:t>−146.08%</w:t>
            </w:r>
          </w:p>
        </w:tc>
      </w:tr>
    </w:tbl>
    <w:p>
      <w:r>
        <w:t>Furniture profit margin was 24.19% for records with no discount, compared with −10.81% at a 30% discount and −29.72% at a 40% discount. Several Furniture discount groups at 30% and above recorded overall losses. These results show an association between higher discount levels and weaker profitability in this dataset, but they do not prove causation.</w:t>
      </w:r>
    </w:p>
    <w:p>
      <w:pPr>
        <w:pStyle w:val="Heading1"/>
      </w:pPr>
      <w:r>
        <w:t>7. Business recommendations</w:t>
      </w:r>
    </w:p>
    <w:p>
      <w:pPr>
        <w:pStyle w:val="ListBullet"/>
      </w:pPr>
      <w:r>
        <w:rPr>
          <w:b/>
        </w:rPr>
        <w:t xml:space="preserve">Review Furniture discounting: </w:t>
      </w:r>
      <w:r>
        <w:t>Assess discount approval practices for Furniture, particularly at discount levels where the dataset shows negative aggregate margins. Consider evaluating margin impact alongside sales volume before approving large discounts.</w:t>
      </w:r>
    </w:p>
    <w:p>
      <w:pPr>
        <w:pStyle w:val="ListBullet"/>
      </w:pPr>
      <w:r>
        <w:rPr>
          <w:b/>
        </w:rPr>
        <w:t xml:space="preserve">Investigate Tables in more detail: </w:t>
      </w:r>
      <w:r>
        <w:t>Break down Tables results by product, discount, market/region, customer segment, and time period to identify where losses are concentrated. Check whether costs, product mix, shipping, or other factors may help explain the result.</w:t>
      </w:r>
    </w:p>
    <w:p>
      <w:pPr>
        <w:pStyle w:val="ListBullet"/>
      </w:pPr>
      <w:r>
        <w:rPr>
          <w:b/>
        </w:rPr>
        <w:t xml:space="preserve">Use margin alongside sales: </w:t>
      </w:r>
      <w:r>
        <w:t>Continue monitoring profit margin as well as total sales. A high sales total does not necessarily mean a category or subcategory is delivering strong profitability.</w:t>
      </w:r>
    </w:p>
    <w:p>
      <w:pPr>
        <w:pStyle w:val="ListBullet"/>
      </w:pPr>
      <w:r>
        <w:rPr>
          <w:b/>
        </w:rPr>
        <w:t xml:space="preserve">Validate with further analysis: </w:t>
      </w:r>
      <w:r>
        <w:t>Before changing pricing or discount policy, compare like-for-like products and orders, check sample sizes at each discount level, and investigate costs and other relevant factors.</w:t>
      </w:r>
    </w:p>
    <w:p>
      <w:pPr>
        <w:pStyle w:val="Heading1"/>
      </w:pPr>
      <w:r>
        <w:t>8. Limitations and interpretation</w:t>
      </w:r>
    </w:p>
    <w:p>
      <w:pPr>
        <w:pStyle w:val="ListBullet"/>
        <w:spacing w:after="60"/>
      </w:pPr>
      <w:r>
        <w:t>This is an exploratory analysis of the supplied dataset, not a causal study. Associations between discounts and profit do not establish that discounts caused losses.</w:t>
      </w:r>
    </w:p>
    <w:p>
      <w:pPr>
        <w:pStyle w:val="ListBullet"/>
        <w:spacing w:after="60"/>
      </w:pPr>
      <w:r>
        <w:t>The analysis uses only the fields available in this dataset and covers 2011–2014, so the findings may not reflect current performance or apply to other businesses.</w:t>
      </w:r>
    </w:p>
    <w:p>
      <w:pPr>
        <w:pStyle w:val="ListBullet"/>
        <w:spacing w:after="60"/>
      </w:pPr>
      <w:r>
        <w:t>Some numeric fields were imported as text because values included comma separators; SQL calculations explicitly removed commas and converted the values to numeric types.</w:t>
      </w:r>
    </w:p>
    <w:p>
      <w:pPr>
        <w:pStyle w:val="ListBullet"/>
        <w:spacing w:after="60"/>
      </w:pPr>
      <w:r>
        <w:t>The discount findings are aggregate comparisons. Product mix, costs, order size, shipping, region, and other factors may differ across discount groups.</w:t>
      </w:r>
    </w:p>
    <w:p>
      <w:pPr>
        <w:pStyle w:val="ListBullet"/>
        <w:spacing w:after="60"/>
      </w:pPr>
      <w:r>
        <w:t>The initial Excel checks found no blanks in the fields reviewed and no exact duplicate rows. These checks do not guarantee that every value is accurate or that all data-quality issues have been identified.</w:t>
      </w:r>
    </w:p>
    <w:p>
      <w:pPr>
        <w:pStyle w:val="ListBullet"/>
        <w:spacing w:after="60"/>
      </w:pPr>
      <w:r>
        <w:t>The Tableau dashboard focuses on category-level sales, profit, and profit margin. Additional charts and analyses would be needed to investigate trends over time, geographic differences, and the drivers of Tables losses.</w:t>
      </w:r>
    </w:p>
    <w:p>
      <w:pPr>
        <w:pStyle w:val="Heading1"/>
      </w:pPr>
      <w:r>
        <w:t>9. Project deliverables</w:t>
      </w:r>
    </w:p>
    <w:p>
      <w:pPr>
        <w:pStyle w:val="ListBullet"/>
        <w:spacing w:after="60"/>
      </w:pPr>
      <w:r>
        <w:t>Excel workbook used for initial data checks and date conversion.</w:t>
      </w:r>
    </w:p>
    <w:p>
      <w:pPr>
        <w:pStyle w:val="ListBullet"/>
        <w:spacing w:after="60"/>
      </w:pPr>
      <w:r>
        <w:t>SQL analysis in PostgreSQL/pgAdmin, including KPI calculations and category, subcategory, and discount-level comparisons.</w:t>
      </w:r>
    </w:p>
    <w:p>
      <w:pPr>
        <w:pStyle w:val="ListBullet"/>
        <w:spacing w:after="60"/>
      </w:pPr>
      <w:r>
        <w:t>Published Tableau Public dashboard titled “Sales &amp; Profitability Analysis,” with three category charts and a key finding.</w:t>
      </w:r>
    </w:p>
    <w:p>
      <w:r>
        <w:t>Published Tableau Public dashboard: https://public.tableau.com/views/SalesandProfitabilityAnalysis_17928000788560/Dashboard1 (share link supplied by the project owner). Include this dashboard link and the SQL file alongside this report.</w:t>
      </w:r>
    </w:p>
    <w:p>
      <w:pPr>
        <w:pStyle w:val="Heading1"/>
      </w:pPr>
      <w:r>
        <w:t>10. Interview-ready summary</w:t>
      </w:r>
    </w:p>
    <w:p>
      <w:pPr>
        <w:spacing w:before="80" w:after="160"/>
        <w:ind w:left="288" w:right="288"/>
      </w:pPr>
      <w:r>
        <w:rPr>
          <w:i/>
          <w:color w:val="1C3752"/>
        </w:rPr>
        <w:t>“I completed a sales and profitability analysis using a Superstore dataset with just over 51,000 records covering 2011 to 2014. I used Excel for initial data checks, PostgreSQL to calculate KPIs and compare profitability across categories and subcategories, and Tableau Public to present the findings in a dashboard. The analysis showed that Technology had the highest category sales and profit, while Furniture had the lowest category profit margin. I also identified Tables as a loss-making subcategory and found an association between higher Furniture discount levels and lower margins. My recommendation was to review discounting and investigate Tables more closely, while recognizing that the analysis shows patterns rather than proving cause and effect.”</w:t>
      </w:r>
    </w:p>
    <w:p>
      <w:pPr>
        <w:pStyle w:val="Heading1"/>
      </w:pPr>
      <w:r>
        <w:t>Appendix: Core calculation definitions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Measure</w:t>
            </w:r>
          </w:p>
        </w:tc>
        <w:tc>
          <w:tcPr>
            <w:tcW w:type="dxa" w:w="4968"/>
            <w:vAlign w:val="center"/>
            <w:shd w:fill="1C3752"/>
            <w:tcMar>
              <w:top w:w="70" w:type="dxa"/>
              <w:start w:w="90" w:type="dxa"/>
              <w:bottom w:w="70" w:type="dxa"/>
              <w:end w:w="90" w:type="dxa"/>
            </w:tcMar>
          </w:tcPr>
          <w:p>
            <w:pPr>
              <w:spacing w:after="0"/>
            </w:pPr>
            <w:r/>
            <w:r>
              <w:rPr>
                <w:rFonts w:ascii="Aptos" w:hAnsi="Aptos"/>
                <w:b/>
                <w:color w:val="FFFFFF"/>
                <w:sz w:val="18"/>
              </w:rPr>
              <w:t>Definition</w:t>
            </w:r>
          </w:p>
        </w:tc>
      </w:tr>
      <w:tr>
        <w:tc>
          <w:tcPr>
            <w:tcW w:type="dxa" w:w="4968"/>
            <w:vAlign w:val="center"/>
            <w:tcMar>
              <w:top w:w="70" w:type="dxa"/>
              <w:start w:w="90" w:type="dxa"/>
              <w:bottom w:w="70" w:type="dxa"/>
              <w:end w:w="90" w:type="dxa"/>
            </w:tcMar>
          </w:tcPr>
          <w:p>
            <w:pPr>
              <w:spacing w:after="0"/>
            </w:pPr>
            <w:r/>
            <w:r>
              <w:rPr>
                <w:rFonts w:ascii="Aptos" w:hAnsi="Aptos"/>
                <w:b/>
                <w:sz w:val="18"/>
              </w:rPr>
              <w:t>Total sales</w:t>
            </w:r>
          </w:p>
        </w:tc>
        <w:tc>
          <w:tcPr>
            <w:tcW w:type="dxa" w:w="4968"/>
            <w:vAlign w:val="center"/>
            <w:tcMar>
              <w:top w:w="70" w:type="dxa"/>
              <w:start w:w="90" w:type="dxa"/>
              <w:bottom w:w="70" w:type="dxa"/>
              <w:end w:w="90" w:type="dxa"/>
            </w:tcMar>
          </w:tcPr>
          <w:p>
            <w:pPr>
              <w:spacing w:after="0"/>
            </w:pPr>
            <w:r/>
            <w:r>
              <w:rPr>
                <w:rFonts w:ascii="Aptos" w:hAnsi="Aptos"/>
                <w:b w:val="0"/>
                <w:sz w:val="18"/>
              </w:rPr>
              <w:t>Sum of sales across all records after converting text values to numeric values.</w:t>
            </w:r>
          </w:p>
        </w:tc>
      </w:tr>
      <w:tr>
        <w:tc>
          <w:tcPr>
            <w:tcW w:type="dxa" w:w="4968"/>
            <w:vAlign w:val="center"/>
            <w:tcMar>
              <w:top w:w="70" w:type="dxa"/>
              <w:start w:w="90" w:type="dxa"/>
              <w:bottom w:w="70" w:type="dxa"/>
              <w:end w:w="90" w:type="dxa"/>
            </w:tcMar>
          </w:tcPr>
          <w:p>
            <w:pPr>
              <w:spacing w:after="0"/>
            </w:pPr>
            <w:r/>
            <w:r>
              <w:rPr>
                <w:rFonts w:ascii="Aptos" w:hAnsi="Aptos"/>
                <w:b/>
                <w:sz w:val="18"/>
              </w:rPr>
              <w:t>Total profit</w:t>
            </w:r>
          </w:p>
        </w:tc>
        <w:tc>
          <w:tcPr>
            <w:tcW w:type="dxa" w:w="4968"/>
            <w:vAlign w:val="center"/>
            <w:tcMar>
              <w:top w:w="70" w:type="dxa"/>
              <w:start w:w="90" w:type="dxa"/>
              <w:bottom w:w="70" w:type="dxa"/>
              <w:end w:w="90" w:type="dxa"/>
            </w:tcMar>
          </w:tcPr>
          <w:p>
            <w:pPr>
              <w:spacing w:after="0"/>
            </w:pPr>
            <w:r/>
            <w:r>
              <w:rPr>
                <w:rFonts w:ascii="Aptos" w:hAnsi="Aptos"/>
                <w:b w:val="0"/>
                <w:sz w:val="18"/>
              </w:rPr>
              <w:t>Sum of profit across all records after converting text values to numeric values.</w:t>
            </w:r>
          </w:p>
        </w:tc>
      </w:tr>
      <w:tr>
        <w:tc>
          <w:tcPr>
            <w:tcW w:type="dxa" w:w="4968"/>
            <w:vAlign w:val="center"/>
            <w:tcMar>
              <w:top w:w="70" w:type="dxa"/>
              <w:start w:w="90" w:type="dxa"/>
              <w:bottom w:w="70" w:type="dxa"/>
              <w:end w:w="90" w:type="dxa"/>
            </w:tcMar>
          </w:tcPr>
          <w:p>
            <w:pPr>
              <w:spacing w:after="0"/>
            </w:pPr>
            <w:r/>
            <w:r>
              <w:rPr>
                <w:rFonts w:ascii="Aptos" w:hAnsi="Aptos"/>
                <w:b/>
                <w:sz w:val="18"/>
              </w:rPr>
              <w:t>Profit margin</w:t>
            </w:r>
          </w:p>
        </w:tc>
        <w:tc>
          <w:tcPr>
            <w:tcW w:type="dxa" w:w="4968"/>
            <w:vAlign w:val="center"/>
            <w:tcMar>
              <w:top w:w="70" w:type="dxa"/>
              <w:start w:w="90" w:type="dxa"/>
              <w:bottom w:w="70" w:type="dxa"/>
              <w:end w:w="90" w:type="dxa"/>
            </w:tcMar>
          </w:tcPr>
          <w:p>
            <w:pPr>
              <w:spacing w:after="0"/>
            </w:pPr>
            <w:r/>
            <w:r>
              <w:rPr>
                <w:rFonts w:ascii="Aptos" w:hAnsi="Aptos"/>
                <w:b w:val="0"/>
                <w:sz w:val="18"/>
              </w:rPr>
              <w:t>Total profit ÷ total sales × 100.</w:t>
            </w:r>
          </w:p>
        </w:tc>
      </w:tr>
      <w:tr>
        <w:tc>
          <w:tcPr>
            <w:tcW w:type="dxa" w:w="4968"/>
            <w:vAlign w:val="center"/>
            <w:tcMar>
              <w:top w:w="70" w:type="dxa"/>
              <w:start w:w="90" w:type="dxa"/>
              <w:bottom w:w="70" w:type="dxa"/>
              <w:end w:w="90" w:type="dxa"/>
            </w:tcMar>
          </w:tcPr>
          <w:p>
            <w:pPr>
              <w:spacing w:after="0"/>
            </w:pPr>
            <w:r/>
            <w:r>
              <w:rPr>
                <w:rFonts w:ascii="Aptos" w:hAnsi="Aptos"/>
                <w:b/>
                <w:sz w:val="18"/>
              </w:rPr>
              <w:t>Category/subcategory margin</w:t>
            </w:r>
          </w:p>
        </w:tc>
        <w:tc>
          <w:tcPr>
            <w:tcW w:type="dxa" w:w="4968"/>
            <w:vAlign w:val="center"/>
            <w:tcMar>
              <w:top w:w="70" w:type="dxa"/>
              <w:start w:w="90" w:type="dxa"/>
              <w:bottom w:w="70" w:type="dxa"/>
              <w:end w:w="90" w:type="dxa"/>
            </w:tcMar>
          </w:tcPr>
          <w:p>
            <w:pPr>
              <w:spacing w:after="0"/>
            </w:pPr>
            <w:r/>
            <w:r>
              <w:rPr>
                <w:rFonts w:ascii="Aptos" w:hAnsi="Aptos"/>
                <w:b w:val="0"/>
                <w:sz w:val="18"/>
              </w:rPr>
              <w:t>Profit margin calculated from the aggregated profit and sales for each category or subcategory.</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Portfolio Project • Superstore Dataset • 2011–2014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382"/>
        <w:sz w:val="16"/>
      </w:rPr>
      <w:t>SALES &amp; PROFITABILITY ANALYSIS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7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7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