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4.png" ContentType="image/png"/>
  <Override PartName="/word/media/rId47.png" ContentType="image/png"/>
  <Override PartName="/word/media/rId38.png" ContentType="image/png"/>
  <Override PartName="/word/media/rId41.png" ContentType="image/png"/>
  <Override PartName="/word/media/rId35.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Influencing</w:t>
      </w:r>
      <w:r>
        <w:t xml:space="preserve"> </w:t>
      </w:r>
      <w:r>
        <w:t xml:space="preserve">Abundance</w:t>
      </w:r>
      <w:r>
        <w:t xml:space="preserve"> </w:t>
      </w:r>
      <w:r>
        <w:t xml:space="preserve">&amp;</w:t>
      </w:r>
      <w:r>
        <w:t xml:space="preserve"> </w:t>
      </w:r>
      <w:r>
        <w:t xml:space="preserve">Virus</w:t>
      </w:r>
      <w:r>
        <w:t xml:space="preserve"> </w:t>
      </w:r>
      <w:r>
        <w:t xml:space="preserve">Isolation</w:t>
      </w:r>
      <w:r>
        <w:t xml:space="preserve"> </w:t>
      </w:r>
      <w:r>
        <w:t xml:space="preserve">in</w:t>
      </w:r>
      <w:r>
        <w:t xml:space="preserve"> </w:t>
      </w:r>
      <w:r>
        <w:t xml:space="preserve">Mosquitoes</w:t>
      </w:r>
    </w:p>
    <w:p>
      <w:pPr>
        <w:pStyle w:val="Subtitle"/>
      </w:pPr>
      <w:r>
        <w:t xml:space="preserve">Which</w:t>
      </w:r>
      <w:r>
        <w:t xml:space="preserve"> </w:t>
      </w:r>
      <w:r>
        <w:t xml:space="preserve">environmental,</w:t>
      </w:r>
      <w:r>
        <w:t xml:space="preserve"> </w:t>
      </w:r>
      <w:r>
        <w:t xml:space="preserve">ecological,</w:t>
      </w:r>
      <w:r>
        <w:t xml:space="preserve"> </w:t>
      </w:r>
      <w:r>
        <w:t xml:space="preserve">and</w:t>
      </w:r>
      <w:r>
        <w:t xml:space="preserve"> </w:t>
      </w:r>
      <w:r>
        <w:t xml:space="preserve">temporal</w:t>
      </w:r>
      <w:r>
        <w:t xml:space="preserve"> </w:t>
      </w:r>
      <w:r>
        <w:t xml:space="preserve">factors</w:t>
      </w:r>
      <w:r>
        <w:t xml:space="preserve"> </w:t>
      </w:r>
      <w:r>
        <w:t xml:space="preserve">impact</w:t>
      </w:r>
      <w:r>
        <w:t xml:space="preserve"> </w:t>
      </w:r>
      <w:r>
        <w:t xml:space="preserve">mosquito</w:t>
      </w:r>
      <w:r>
        <w:t xml:space="preserve"> </w:t>
      </w:r>
      <w:r>
        <w:t xml:space="preserve">populations</w:t>
      </w:r>
    </w:p>
    <w:p>
      <w:pPr>
        <w:pStyle w:val="Author"/>
      </w:pPr>
      <w:r>
        <w:t xml:space="preserve">Andrew</w:t>
      </w:r>
      <w:r>
        <w:t xml:space="preserve"> </w:t>
      </w:r>
      <w:r>
        <w:t xml:space="preserve">Ruiz</w:t>
      </w:r>
    </w:p>
    <w:p>
      <w:pPr>
        <w:pStyle w:val="Date"/>
      </w:pPr>
      <w:r>
        <w:t xml:space="preserve">2024-05-03</w:t>
      </w:r>
    </w:p>
    <w:bookmarkStart w:id="21" w:name="summary"/>
    <w:bookmarkStart w:id="20" w:name="summaryabstract"/>
    <w:p>
      <w:pPr>
        <w:pStyle w:val="Heading1"/>
      </w:pPr>
      <w:r>
        <w:t xml:space="preserve">Summary/Abstract</w:t>
      </w:r>
    </w:p>
    <w:p>
      <w:pPr>
        <w:pStyle w:val="FirstParagraph"/>
      </w:pPr>
      <w:r>
        <w:t xml:space="preserve">Eastern equine encephalitis (EEE) is a rare but severe disease caused</w:t>
      </w:r>
      <w:r>
        <w:t xml:space="preserve"> </w:t>
      </w:r>
      <w:r>
        <w:t xml:space="preserve">by an Alphavirus transmitted to humans by infected mosquitoes. With a</w:t>
      </w:r>
      <w:r>
        <w:t xml:space="preserve"> </w:t>
      </w:r>
      <w:r>
        <w:t xml:space="preserve">fatality rate of 30-50% and potential lifelong disability for survivors,</w:t>
      </w:r>
      <w:r>
        <w:t xml:space="preserve"> </w:t>
      </w:r>
      <w:r>
        <w:t xml:space="preserve">understanding its transmission cycle is crucial. EEE transmission</w:t>
      </w:r>
      <w:r>
        <w:t xml:space="preserve"> </w:t>
      </w:r>
      <w:r>
        <w:t xml:space="preserve">involves two cycles: an enzootic cycle between Culiseta melanura</w:t>
      </w:r>
      <w:r>
        <w:t xml:space="preserve"> </w:t>
      </w:r>
      <w:r>
        <w:t xml:space="preserve">mosquitoes and birds and an epizootic cycle where bridge vector</w:t>
      </w:r>
      <w:r>
        <w:t xml:space="preserve"> </w:t>
      </w:r>
      <w:r>
        <w:t xml:space="preserve">mosquitoes transmit the virus to humans and other mammals. While</w:t>
      </w:r>
      <w:r>
        <w:t xml:space="preserve"> </w:t>
      </w:r>
      <w:r>
        <w:rPr>
          <w:iCs/>
          <w:i/>
        </w:rPr>
        <w:t xml:space="preserve">C. melanura</w:t>
      </w:r>
      <w:r>
        <w:t xml:space="preserve"> </w:t>
      </w:r>
      <w:r>
        <w:t xml:space="preserve">poses minimal direct threat to humans, isolations of EEE virus in these mosquitoes serve as early indicators of virus circulation. In contrast, isolations in bridge vector species signal a heightened transmission risk. This project aims to identify significant relationships between variables to inform the development of a dissertation prospectus and guide methodological approaches..</w:t>
      </w:r>
    </w:p>
    <w:bookmarkEnd w:id="20"/>
    <w:bookmarkEnd w:id="21"/>
    <w:bookmarkStart w:id="22" w:name="research-question"/>
    <w:p>
      <w:pPr>
        <w:pStyle w:val="Heading1"/>
      </w:pPr>
      <w:r>
        <w:t xml:space="preserve">Research Question</w:t>
      </w:r>
    </w:p>
    <w:p>
      <w:pPr>
        <w:pStyle w:val="FirstParagraph"/>
      </w:pPr>
      <w:r>
        <w:t xml:space="preserve">In southeastern Massachusetts, the transmission dynamics of Eastern Equine Encephalitis (EEE) remain inadequately understood, particularly how environmental, ecological, and temporal factors interplay to affect outbreak patterns. This gap in knowledge hinders effective predictive modeling and response strategies, crucial for preventing and mitigating the impact of EEE.</w:t>
      </w:r>
    </w:p>
    <w:p>
      <w:pPr>
        <w:pStyle w:val="BodyText"/>
      </w:pPr>
      <w:r>
        <w:rPr>
          <w:bCs/>
          <w:b/>
        </w:rPr>
        <w:t xml:space="preserve">Which environmental,ecological, and temporal factors influence the transmission cycles for EEE in southeastern Massachusetts, and which models best describe the relationship between these factors?</w:t>
      </w:r>
    </w:p>
    <w:bookmarkEnd w:id="22"/>
    <w:bookmarkStart w:id="34" w:name="introduction"/>
    <w:p>
      <w:pPr>
        <w:pStyle w:val="Heading1"/>
      </w:pPr>
      <w:r>
        <w:t xml:space="preserve">Introduction</w:t>
      </w:r>
    </w:p>
    <w:bookmarkStart w:id="23" w:name="background"/>
    <w:p>
      <w:pPr>
        <w:pStyle w:val="Heading2"/>
      </w:pPr>
      <w:r>
        <w:t xml:space="preserve">Background</w:t>
      </w:r>
    </w:p>
    <w:p>
      <w:pPr>
        <w:pStyle w:val="FirstParagraph"/>
      </w:pPr>
      <w:r>
        <w:t xml:space="preserve">Eastern equine encephalitis (EEE) is caused by an Alphavirus transmitted</w:t>
      </w:r>
      <w:r>
        <w:t xml:space="preserve"> </w:t>
      </w:r>
      <w:r>
        <w:t xml:space="preserve">to humans by the bite of an infected mosquito. Human infections are</w:t>
      </w:r>
      <w:r>
        <w:t xml:space="preserve"> </w:t>
      </w:r>
      <w:r>
        <w:t xml:space="preserve">rare but serious</w:t>
      </w:r>
      <w:r>
        <w:t xml:space="preserve"> </w:t>
      </w:r>
      <w:r>
        <w:t xml:space="preserve">(Lindsey, Staples, and Fischer 2018)</w:t>
      </w:r>
      <w:r>
        <w:t xml:space="preserve">. Humans and</w:t>
      </w:r>
      <w:r>
        <w:t xml:space="preserve"> </w:t>
      </w:r>
      <w:r>
        <w:t xml:space="preserve">other mammals are dead-end hosts for EEE. About 94% of human EEE</w:t>
      </w:r>
      <w:r>
        <w:t xml:space="preserve"> </w:t>
      </w:r>
      <w:r>
        <w:t xml:space="preserve">infections are asymptomatic. While symptomatic cases are rare, the</w:t>
      </w:r>
      <w:r>
        <w:t xml:space="preserve"> </w:t>
      </w:r>
      <w:r>
        <w:t xml:space="preserve">consequences can be severe. Mortality rates associated with symptomatic</w:t>
      </w:r>
      <w:r>
        <w:t xml:space="preserve"> </w:t>
      </w:r>
      <w:r>
        <w:t xml:space="preserve">cases range from 30 to 50%</w:t>
      </w:r>
      <w:r>
        <w:t xml:space="preserve"> </w:t>
      </w:r>
      <w:r>
        <w:t xml:space="preserve">(Morens, Folkers, and Fauci 2019)</w:t>
      </w:r>
      <w:r>
        <w:t xml:space="preserve">.</w:t>
      </w:r>
      <w:r>
        <w:t xml:space="preserve"> </w:t>
      </w:r>
      <w:r>
        <w:t xml:space="preserve">Those who survive often experience lifelong disability that includes</w:t>
      </w:r>
      <w:r>
        <w:t xml:space="preserve"> </w:t>
      </w:r>
      <w:r>
        <w:t xml:space="preserve">debilitating neurological damage</w:t>
      </w:r>
      <w:r>
        <w:t xml:space="preserve"> </w:t>
      </w:r>
      <w:r>
        <w:t xml:space="preserve">(Massachusetts Department of Public Health 2024)</w:t>
      </w:r>
      <w:r>
        <w:t xml:space="preserve">.</w:t>
      </w:r>
      <w:r>
        <w:t xml:space="preserve"> </w:t>
      </w:r>
      <w:r>
        <w:t xml:space="preserve">On average, 11 cases reported in the US annually. Most occur</w:t>
      </w:r>
      <w:r>
        <w:t xml:space="preserve"> </w:t>
      </w:r>
      <w:r>
        <w:t xml:space="preserve">in Massachusetts and Florida</w:t>
      </w:r>
      <w:r>
        <w:t xml:space="preserve"> </w:t>
      </w:r>
      <w:r>
        <w:t xml:space="preserve">(Vander Kelen et al. 2014)</w:t>
      </w:r>
      <w:r>
        <w:t xml:space="preserve">. Until</w:t>
      </w:r>
      <w:r>
        <w:t xml:space="preserve"> </w:t>
      </w:r>
      <w:r>
        <w:t xml:space="preserve">recently, nearly all human EEE cases in Massachusetts occurred in two</w:t>
      </w:r>
      <w:r>
        <w:t xml:space="preserve"> </w:t>
      </w:r>
      <w:r>
        <w:t xml:space="preserve">counties: Bristol and Plymouth.</w:t>
      </w:r>
    </w:p>
    <w:p>
      <w:pPr>
        <w:pStyle w:val="BodyText"/>
      </w:pPr>
      <w:r>
        <w:t xml:space="preserve">Since 2000, there have been 45 human cases recorded in Massachusetts,</w:t>
      </w:r>
      <w:r>
        <w:t xml:space="preserve"> </w:t>
      </w:r>
      <w:r>
        <w:t xml:space="preserve">resulting in 22 deaths</w:t>
      </w:r>
      <w:r>
        <w:t xml:space="preserve"> </w:t>
      </w:r>
      <w:r>
        <w:t xml:space="preserve">(Massachusetts Department of Public Health 2024)</w:t>
      </w:r>
      <w:r>
        <w:t xml:space="preserve">.</w:t>
      </w:r>
      <w:r>
        <w:t xml:space="preserve"> </w:t>
      </w:r>
      <w:r>
        <w:t xml:space="preserve">There are no human vaccines for EEE, and treatment consists of</w:t>
      </w:r>
      <w:r>
        <w:t xml:space="preserve"> </w:t>
      </w:r>
      <w:r>
        <w:t xml:space="preserve">palliative care only. Prevention measures include personal behaviors to</w:t>
      </w:r>
      <w:r>
        <w:t xml:space="preserve"> </w:t>
      </w:r>
      <w:r>
        <w:t xml:space="preserve">avoid mosquito bites and decreasing the mosquito population through</w:t>
      </w:r>
      <w:r>
        <w:t xml:space="preserve"> </w:t>
      </w:r>
      <w:r>
        <w:t xml:space="preserve">pesticide use and environmental modifications like removing standing</w:t>
      </w:r>
      <w:r>
        <w:t xml:space="preserve"> </w:t>
      </w:r>
      <w:r>
        <w:t xml:space="preserve">water</w:t>
      </w:r>
      <w:r>
        <w:t xml:space="preserve"> </w:t>
      </w:r>
      <w:r>
        <w:t xml:space="preserve">(Centers for Disease Control and Prevention 2022)</w:t>
      </w:r>
      <w:r>
        <w:t xml:space="preserve">.</w:t>
      </w:r>
    </w:p>
    <w:p>
      <w:pPr>
        <w:pStyle w:val="BodyText"/>
      </w:pPr>
      <w:r>
        <w:t xml:space="preserve">The Bristol County Mosquito Control Project (BCMCP) coordinates mosquito</w:t>
      </w:r>
      <w:r>
        <w:t xml:space="preserve"> </w:t>
      </w:r>
      <w:r>
        <w:t xml:space="preserve">surveillance and testing in the county from June to October. BCMCP has</w:t>
      </w:r>
      <w:r>
        <w:t xml:space="preserve"> </w:t>
      </w:r>
      <w:r>
        <w:t xml:space="preserve">used the same sentinel collection sites and trapping methods for over 40</w:t>
      </w:r>
      <w:r>
        <w:t xml:space="preserve"> </w:t>
      </w:r>
      <w:r>
        <w:t xml:space="preserve">years. Once trapped, mosquitoes are sorted and counted by species, and</w:t>
      </w:r>
      <w:r>
        <w:t xml:space="preserve"> </w:t>
      </w:r>
      <w:r>
        <w:t xml:space="preserve">vector species are submitted to the Massachusetts Department of Health’s</w:t>
      </w:r>
      <w:r>
        <w:t xml:space="preserve"> </w:t>
      </w:r>
      <w:r>
        <w:t xml:space="preserve">(MDPH) State Lab for PCR virus testing. Results are available within 24</w:t>
      </w:r>
      <w:r>
        <w:t xml:space="preserve"> </w:t>
      </w:r>
      <w:r>
        <w:t xml:space="preserve">hours of submission. When rates of EEE mosquito infections are above a</w:t>
      </w:r>
      <w:r>
        <w:t xml:space="preserve"> </w:t>
      </w:r>
      <w:r>
        <w:t xml:space="preserve">defined threshold, MDPH notifies the local boards of health and</w:t>
      </w:r>
      <w:r>
        <w:t xml:space="preserve"> </w:t>
      </w:r>
      <w:r>
        <w:t xml:space="preserve">recommends preventive measures. Recommended measures include outreach</w:t>
      </w:r>
      <w:r>
        <w:t xml:space="preserve"> </w:t>
      </w:r>
      <w:r>
        <w:t xml:space="preserve">and education to increase personal protective practices. Additionally,</w:t>
      </w:r>
      <w:r>
        <w:t xml:space="preserve"> </w:t>
      </w:r>
      <w:r>
        <w:t xml:space="preserve">MDPH may recommend that cities and towns in the affected areas cancel</w:t>
      </w:r>
      <w:r>
        <w:t xml:space="preserve"> </w:t>
      </w:r>
      <w:r>
        <w:t xml:space="preserve">evening outdoor events and discourage outdoor activities when mosquito</w:t>
      </w:r>
      <w:r>
        <w:t xml:space="preserve"> </w:t>
      </w:r>
      <w:r>
        <w:t xml:space="preserve">vectors are most active (dawn and dusk). When infection rates are high</w:t>
      </w:r>
      <w:r>
        <w:t xml:space="preserve"> </w:t>
      </w:r>
      <w:r>
        <w:t xml:space="preserve">enough to indicate imminent human transmission, the Commonwealth of</w:t>
      </w:r>
      <w:r>
        <w:t xml:space="preserve"> </w:t>
      </w:r>
      <w:r>
        <w:t xml:space="preserve">Massachusetts will recommend and fund aerial pesticide applications over</w:t>
      </w:r>
      <w:r>
        <w:t xml:space="preserve"> </w:t>
      </w:r>
      <w:r>
        <w:t xml:space="preserve">the affected areas.</w:t>
      </w:r>
    </w:p>
    <w:bookmarkEnd w:id="23"/>
    <w:bookmarkStart w:id="24" w:name="study-area"/>
    <w:p>
      <w:pPr>
        <w:pStyle w:val="Heading2"/>
      </w:pPr>
      <w:r>
        <w:t xml:space="preserve">Study area</w:t>
      </w:r>
    </w:p>
    <w:p>
      <w:pPr>
        <w:pStyle w:val="FirstParagraph"/>
      </w:pPr>
      <w:r>
        <w:t xml:space="preserve">Bristol County, Massachusetts covers 691 square miles with a population</w:t>
      </w:r>
      <w:r>
        <w:t xml:space="preserve"> </w:t>
      </w:r>
      <w:r>
        <w:t xml:space="preserve">density of 962 people per square mile. It borders Rhode Island to the</w:t>
      </w:r>
      <w:r>
        <w:t xml:space="preserve"> </w:t>
      </w:r>
      <w:r>
        <w:t xml:space="preserve">west, Plymouth County, MA to the east, and Norfolk County, MA to the</w:t>
      </w:r>
      <w:r>
        <w:t xml:space="preserve"> </w:t>
      </w:r>
      <w:r>
        <w:t xml:space="preserve">north. Naushon Island and Martha’s Vineyard are across Buzzard’s Bay.</w:t>
      </w:r>
    </w:p>
    <w:p>
      <w:pPr>
        <w:pStyle w:val="BodyText"/>
      </w:pPr>
      <w:r>
        <w:t xml:space="preserve">Atlantic White Cedar (AWC) swamps cover more than 4,300 acres across</w:t>
      </w:r>
      <w:r>
        <w:t xml:space="preserve"> </w:t>
      </w:r>
      <w:r>
        <w:t xml:space="preserve">Massachusetts, with the largest concentrations found in Plymouth and</w:t>
      </w:r>
      <w:r>
        <w:t xml:space="preserve"> </w:t>
      </w:r>
      <w:r>
        <w:t xml:space="preserve">Bristol counties. These swamps are crucial breeding grounds for Culiseta</w:t>
      </w:r>
      <w:r>
        <w:t xml:space="preserve"> </w:t>
      </w:r>
      <w:r>
        <w:t xml:space="preserve">melanura (MEL), which is identified as the primary enzootic vector for</w:t>
      </w:r>
      <w:r>
        <w:t xml:space="preserve"> </w:t>
      </w:r>
      <w:r>
        <w:t xml:space="preserve">Eastern Equine Encephalitis (EEE)</w:t>
      </w:r>
      <w:r>
        <w:t xml:space="preserve"> </w:t>
      </w:r>
      <w:r>
        <w:t xml:space="preserve">(Commonwealth of Massachusetts Division of Fisheries &amp; Wildlife 2007)</w:t>
      </w:r>
      <w:r>
        <w:t xml:space="preserve">.</w:t>
      </w:r>
      <w:r>
        <w:t xml:space="preserve"> </w:t>
      </w:r>
      <w:r>
        <w:t xml:space="preserve">Atlantic White Cedar (AWC) trees possess extensive root systems that</w:t>
      </w:r>
      <w:r>
        <w:t xml:space="preserve"> </w:t>
      </w:r>
      <w:r>
        <w:t xml:space="preserve">create</w:t>
      </w:r>
      <w:r>
        <w:t xml:space="preserve"> </w:t>
      </w:r>
      <w:r>
        <w:t xml:space="preserve">“</w:t>
      </w:r>
      <w:r>
        <w:t xml:space="preserve">crypts</w:t>
      </w:r>
      <w:r>
        <w:t xml:space="preserve">”</w:t>
      </w:r>
      <w:r>
        <w:t xml:space="preserve"> </w:t>
      </w:r>
      <w:r>
        <w:t xml:space="preserve">capable of retaining water year-round. These crypts are</w:t>
      </w:r>
      <w:r>
        <w:t xml:space="preserve"> </w:t>
      </w:r>
      <w:r>
        <w:t xml:space="preserve">crucial habitats for the larval growth of Culiseta melanura (MEL) and</w:t>
      </w:r>
      <w:r>
        <w:t xml:space="preserve"> </w:t>
      </w:r>
      <w:r>
        <w:t xml:space="preserve">also provide shelter during the winter.</w:t>
      </w:r>
    </w:p>
    <w:p>
      <w:pPr>
        <w:pStyle w:val="BodyText"/>
      </w:pPr>
      <w:r>
        <w:t xml:space="preserve">Between 2003 and 2022 Plymouth and Bristol counties were the epicenters</w:t>
      </w:r>
      <w:r>
        <w:t xml:space="preserve"> </w:t>
      </w:r>
      <w:r>
        <w:t xml:space="preserve">for EEE transmission in Massachusetts, accounting for 24 out of the</w:t>
      </w:r>
      <w:r>
        <w:t xml:space="preserve"> </w:t>
      </w:r>
      <w:r>
        <w:t xml:space="preserve">state’s 41 human EEE cases.The Bristol County Mosquito Control Project</w:t>
      </w:r>
      <w:r>
        <w:t xml:space="preserve"> </w:t>
      </w:r>
      <w:r>
        <w:t xml:space="preserve">(BCMCP) conducts mosquito surveillance and abatement activities for the</w:t>
      </w:r>
      <w:r>
        <w:t xml:space="preserve"> </w:t>
      </w:r>
      <w:r>
        <w:t xml:space="preserve">county and often coordinates activities with Plymouth County Mosquito</w:t>
      </w:r>
      <w:r>
        <w:t xml:space="preserve"> </w:t>
      </w:r>
      <w:r>
        <w:t xml:space="preserve">Control Project.</w:t>
      </w:r>
    </w:p>
    <w:bookmarkEnd w:id="24"/>
    <w:bookmarkStart w:id="25" w:name="questionshypotheses-to-be-addressed"/>
    <w:p>
      <w:pPr>
        <w:pStyle w:val="Heading2"/>
      </w:pPr>
      <w:r>
        <w:t xml:space="preserve">Questions/Hypotheses to be addressed</w:t>
      </w:r>
    </w:p>
    <w:p>
      <w:pPr>
        <w:pStyle w:val="FirstParagraph"/>
      </w:pPr>
      <w:r>
        <w:rPr>
          <w:iCs/>
          <w:i/>
        </w:rPr>
        <w:t xml:space="preserve">Which environmental, ecological, and temporal factors influence the transmission cycles for EEE in southeastern Massachusetts, and which models best describe the relationship between these factors?</w:t>
      </w:r>
      <w:r>
        <w:t xml:space="preserve"> </w:t>
      </w:r>
      <w:r>
        <w:t xml:space="preserve">From prior research, we know that the mosquito lifecycle is influenced by several factors. Temperature plays a significant role in the mosquito life cycle and virus transmission dynamics. As temperature increases, the rate of larval development also increases, and the time between when a mosquito ingests the virus in a blood meal and when it can transmit it decreases. The result is that the mosquito population can grow at a faster rate, and they will have more time to transmit the virus. However, MEL larvae develop in well-insulated crypts that are less sensitive to ambient air temperature changes, so the effect of temperature changes on MEL development speed may be less pronounced than other vector species that develop in open, standing water, like ditches and containers. Precipitation increases the amount of standing water and the chances of larval survival during the mosquito season and winter for those species that overwinter in the larval stage. For EEE, the primary enzootic vector, MEL, overwinters as larvae.</w:t>
      </w:r>
      <w:r>
        <w:t xml:space="preserve"> </w:t>
      </w:r>
      <w:r>
        <w:t xml:space="preserve">While these relationships are well known, they are not well described for EEE, especially in quantifying the role these two factors play in EEE transmission. Specifically, there’s a gap in understanding how these factors influence the number of EEE vector mosquitoes collected in traps and the rate of virus infection among those mosquitoes</w:t>
      </w:r>
    </w:p>
    <w:bookmarkEnd w:id="25"/>
    <w:bookmarkStart w:id="32" w:name="data-collection-and-processing"/>
    <w:p>
      <w:pPr>
        <w:pStyle w:val="Heading2"/>
      </w:pPr>
      <w:r>
        <w:t xml:space="preserve">Data collection and processing</w:t>
      </w:r>
    </w:p>
    <w:p>
      <w:pPr>
        <w:pStyle w:val="FirstParagraph"/>
      </w:pPr>
      <w:r>
        <w:t xml:space="preserve">With the exception of the mosquito collection data, all other datasets</w:t>
      </w:r>
      <w:r>
        <w:t xml:space="preserve"> </w:t>
      </w:r>
      <w:r>
        <w:t xml:space="preserve">are publicly available for use without restrictions.</w:t>
      </w:r>
    </w:p>
    <w:bookmarkStart w:id="26" w:name="mosquito-surveillance-data"/>
    <w:p>
      <w:pPr>
        <w:pStyle w:val="Heading3"/>
      </w:pPr>
      <w:r>
        <w:t xml:space="preserve">Mosquito surveillance data</w:t>
      </w:r>
    </w:p>
    <w:p>
      <w:pPr>
        <w:pStyle w:val="FirstParagraph"/>
      </w:pPr>
      <w:r>
        <w:t xml:space="preserve">The mosquito surveillance dataset encompasses counts by species from all mosquito traps deployed in Bristol County, MA, from 2007 to 2023. The raw dataset includes over 45,000 records and includes temporal and spatial variables. The BCMCP performs mosquito surveillance from June through October annually.</w:t>
      </w:r>
      <w:r>
        <w:t xml:space="preserve"> </w:t>
      </w:r>
      <w:r>
        <w:t xml:space="preserve">During this interval, CDC light traps baited with carbon dioxide are placed at various sentinel sites weekly. Designed to attract mosquitoes in search of blood meals, light traps serve as a reliable measure of the actively feeding mosquito population, thereby establishing them as the standard method for EEE surveillance. Some of the sentinel sites have been used for over 50 years.</w:t>
      </w:r>
      <w:r>
        <w:t xml:space="preserve"> </w:t>
      </w:r>
      <w:r>
        <w:t xml:space="preserve">Additionally, the county employs gravid traps specifically aimed at attracting and capturing gravid Culex mosquitoes looking for egg-laying sites. While these traps are primarily used for West Nile Virus (WNV) surveillance, they also hold significant value for EEE monitoring. Given the role of Culex species as bridge vectors for EEE, their capture in gravid traps provides critical insight into the risk of virus transmission.</w:t>
      </w:r>
      <w:r>
        <w:t xml:space="preserve"> </w:t>
      </w:r>
      <w:r>
        <w:t xml:space="preserve">The traps are installed in the afternoon and retrieved the following morning. After the traps are collected, the next are stored in a freezer to preserve and kill the mosquitoes. The mosquitoes are sorted by species using a dissecting scope. Counts for each species are recorded in the database, and a portion of the vector species are driven to the Massachusetts State Laboratory in Boston. The lab tests each mosquito pool (or batch) for WNV and EEEv using PCR. Results are shared with BCMCP on the same day of testing. Virus isolation results are recorded in the collection records.</w:t>
      </w:r>
      <w:r>
        <w:t xml:space="preserve"> </w:t>
      </w:r>
      <w:r>
        <w:t xml:space="preserve">In addition to mosquito counts by species, the dataset includes the town or city in which they were collected, the collection date, and whether the mosquitoes were submitted for virus testing.</w:t>
      </w:r>
    </w:p>
    <w:bookmarkEnd w:id="26"/>
    <w:bookmarkStart w:id="30" w:name="minimum-infection-rate-mir"/>
    <w:p>
      <w:pPr>
        <w:pStyle w:val="Heading3"/>
      </w:pPr>
      <w:r>
        <w:t xml:space="preserve">Minimum infection rate (MIR)</w:t>
      </w:r>
    </w:p>
    <w:p>
      <w:pPr>
        <w:pStyle w:val="FirstParagraph"/>
      </w:pPr>
      <w:r>
        <w:t xml:space="preserve">In our investigation into the environmental, ecological, and temporal</w:t>
      </w:r>
      <w:r>
        <w:t xml:space="preserve"> </w:t>
      </w:r>
      <w:r>
        <w:t xml:space="preserve">factors that impact the transmission cycles of EEE in southeastern</w:t>
      </w:r>
      <w:r>
        <w:t xml:space="preserve"> </w:t>
      </w:r>
      <w:r>
        <w:t xml:space="preserve">Massachusetts, the Mosquito Infection Rate (MIR) emerges as a pivotal</w:t>
      </w:r>
      <w:r>
        <w:t xml:space="preserve"> </w:t>
      </w:r>
      <w:r>
        <w:t xml:space="preserve">indicator. MIR provides a quantifiable measure of virus prevalence</w:t>
      </w:r>
      <w:r>
        <w:t xml:space="preserve"> </w:t>
      </w:r>
      <w:r>
        <w:t xml:space="preserve">within mosquito populations, making it an essential metric for modeling</w:t>
      </w:r>
      <w:r>
        <w:t xml:space="preserve"> </w:t>
      </w:r>
      <w:r>
        <w:t xml:space="preserve">the dynamics of disease spread. By analyzing changes in MIR in response</w:t>
      </w:r>
      <w:r>
        <w:t xml:space="preserve"> </w:t>
      </w:r>
      <w:r>
        <w:t xml:space="preserve">to varying environmental conditions and mosquito behaviors, we can</w:t>
      </w:r>
      <w:r>
        <w:t xml:space="preserve"> </w:t>
      </w:r>
      <w:r>
        <w:t xml:space="preserve">enhance our understanding of the key drivers behind EEE transmission.</w:t>
      </w:r>
      <w:r>
        <w:t xml:space="preserve"> </w:t>
      </w:r>
      <w:r>
        <w:t xml:space="preserve">This understanding, in turn, guides the development of predictive models</w:t>
      </w:r>
      <w:r>
        <w:t xml:space="preserve"> </w:t>
      </w:r>
      <w:r>
        <w:t xml:space="preserve">that can accurately forecast periods of heightened transmission risk</w:t>
      </w:r>
      <w:r>
        <w:t xml:space="preserve"> </w:t>
      </w:r>
      <w:r>
        <w:t xml:space="preserve">based on observed or anticipated changes in the identified factors. The</w:t>
      </w:r>
      <w:r>
        <w:t xml:space="preserve"> </w:t>
      </w:r>
      <w:r>
        <w:t xml:space="preserve">minimum infection rate (MIR) can be calculated at various temporal and</w:t>
      </w:r>
      <w:r>
        <w:t xml:space="preserve"> </w:t>
      </w:r>
      <w:r>
        <w:t xml:space="preserve">spatial scales from trap site over one day to all sites over an entire</w:t>
      </w:r>
      <w:r>
        <w:t xml:space="preserve"> </w:t>
      </w:r>
      <w:r>
        <w:t xml:space="preserve">season. MIR is calculated as:</w:t>
      </w:r>
    </w:p>
    <w:p>
      <w:pPr>
        <w:pStyle w:val="BodyText"/>
      </w:pPr>
      <m:oMathPara>
        <m:oMathParaPr>
          <m:jc m:val="center"/>
        </m:oMathParaPr>
        <m:oMath>
          <m:r>
            <m:t>M</m:t>
          </m:r>
          <m:r>
            <m:t>I</m:t>
          </m:r>
          <m:r>
            <m:t>R</m:t>
          </m:r>
          <m:r>
            <m:rPr>
              <m:sty m:val="p"/>
            </m:rPr>
            <m:t>=</m:t>
          </m:r>
          <m:d>
            <m:dPr>
              <m:begChr m:val="("/>
              <m:endChr m:val=")"/>
              <m:sepChr m:val=""/>
              <m:grow/>
            </m:dPr>
            <m:e>
              <m:f>
                <m:fPr>
                  <m:type m:val="bar"/>
                </m:fPr>
                <m:num>
                  <m:r>
                    <m:rPr>
                      <m:nor/>
                      <m:sty m:val="p"/>
                    </m:rPr>
                    <m:t>Number of positive mosquito pools</m:t>
                  </m:r>
                </m:num>
                <m:den>
                  <m:r>
                    <m:rPr>
                      <m:nor/>
                      <m:sty m:val="p"/>
                    </m:rPr>
                    <m:t>Total number of mosquitoes tested</m:t>
                  </m:r>
                </m:den>
              </m:f>
            </m:e>
          </m:d>
          <m:r>
            <m:rPr>
              <m:sty m:val="p"/>
            </m:rPr>
            <m:t>×</m:t>
          </m:r>
          <m:r>
            <m:t>1000</m:t>
          </m:r>
        </m:oMath>
      </m:oMathPara>
    </w:p>
    <w:p>
      <w:pPr>
        <w:pStyle w:val="FirstParagraph"/>
      </w:pPr>
      <w:r>
        <w:t xml:space="preserve">While MIR does not directly measure the risk to humans, a higher MIR</w:t>
      </w:r>
      <w:r>
        <w:t xml:space="preserve"> </w:t>
      </w:r>
      <w:r>
        <w:t xml:space="preserve">in mosquitoes that commonly bite humans can indicate a higher risk of</w:t>
      </w:r>
      <w:r>
        <w:t xml:space="preserve"> </w:t>
      </w:r>
      <w:r>
        <w:t xml:space="preserve">transmission. A study pubulihsed in 2007 indicated that in years with</w:t>
      </w:r>
      <w:r>
        <w:t xml:space="preserve"> </w:t>
      </w:r>
      <w:r>
        <w:t xml:space="preserve">human cases in Massachusetts between 1979 and 2004, the MIR was ≥1.0 by</w:t>
      </w:r>
      <w:r>
        <w:t xml:space="preserve"> </w:t>
      </w:r>
      <w:r>
        <w:t xml:space="preserve">week 31 (mid-late July)</w:t>
      </w:r>
      <w:r>
        <w:t xml:space="preserve"> </w:t>
      </w:r>
      <w:r>
        <w:t xml:space="preserve">(Hachiya et al. 2007)</w:t>
      </w:r>
      <w:r>
        <w:t xml:space="preserve">. MIR allows for</w:t>
      </w:r>
      <w:r>
        <w:t xml:space="preserve"> </w:t>
      </w:r>
      <w:r>
        <w:t xml:space="preserve">the comparison of infection rates across different geographical areas or</w:t>
      </w:r>
      <w:r>
        <w:t xml:space="preserve"> </w:t>
      </w:r>
      <w:r>
        <w:t xml:space="preserve">time periods. This is crucial for identifying areas or times of higher</w:t>
      </w:r>
      <w:r>
        <w:t xml:space="preserve"> </w:t>
      </w:r>
      <w:r>
        <w:t xml:space="preserve">risk and for evaluating the effectiveness of control measures.</w:t>
      </w:r>
    </w:p>
    <w:p>
      <w:pPr>
        <w:pStyle w:val="CaptionedFigure"/>
      </w:pPr>
      <w:r>
        <w:drawing>
          <wp:inline>
            <wp:extent cx="5334000" cy="4267200"/>
            <wp:effectExtent b="0" l="0" r="0" t="0"/>
            <wp:docPr descr="Minimum infection rate by week" title="" id="28" name="Picture"/>
            <a:graphic>
              <a:graphicData uri="http://schemas.openxmlformats.org/drawingml/2006/picture">
                <pic:pic>
                  <pic:nvPicPr>
                    <pic:cNvPr descr="images/MIR_by_week_heatmap.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Minimum infection rate by</w:t>
      </w:r>
      <w:r>
        <w:t xml:space="preserve"> </w:t>
      </w:r>
      <w:r>
        <w:t xml:space="preserve">week</w:t>
      </w:r>
    </w:p>
    <w:p>
      <w:pPr>
        <w:pStyle w:val="BodyText"/>
      </w:pPr>
      <w:r>
        <w:t xml:space="preserve">The surveillance dataset is structured to conform with state and federal</w:t>
      </w:r>
      <w:r>
        <w:t xml:space="preserve"> </w:t>
      </w:r>
      <w:r>
        <w:t xml:space="preserve">reporting requirements. As a result, the format of the data must be</w:t>
      </w:r>
      <w:r>
        <w:t xml:space="preserve"> </w:t>
      </w:r>
      <w:r>
        <w:t xml:space="preserve">transformed to in order to make it ready for analysis. Once the data</w:t>
      </w:r>
      <w:r>
        <w:t xml:space="preserve"> </w:t>
      </w:r>
      <w:r>
        <w:t xml:space="preserve">structure is corrected, it can be joined to other relevant datasets</w:t>
      </w:r>
      <w:r>
        <w:t xml:space="preserve"> </w:t>
      </w:r>
      <w:r>
        <w:t xml:space="preserve">using spatial or temporal attributes.</w:t>
      </w:r>
    </w:p>
    <w:bookmarkEnd w:id="30"/>
    <w:bookmarkStart w:id="31" w:name="weather-data"/>
    <w:p>
      <w:pPr>
        <w:pStyle w:val="Heading3"/>
      </w:pPr>
      <w:r>
        <w:t xml:space="preserve">Weather data</w:t>
      </w:r>
    </w:p>
    <w:p>
      <w:pPr>
        <w:pStyle w:val="FirstParagraph"/>
      </w:pPr>
      <w:r>
        <w:t xml:space="preserve">Weather plays a significant role in the lifecyle of the mosquito and</w:t>
      </w:r>
      <w:r>
        <w:t xml:space="preserve"> </w:t>
      </w:r>
      <w:r>
        <w:t xml:space="preserve">influences the rate at which a pathogen can develop in a mosquito.</w:t>
      </w:r>
      <w:r>
        <w:t xml:space="preserve"> </w:t>
      </w:r>
      <w:r>
        <w:t xml:space="preserve">Hourly and weather summaries were downloaded from NOAA’s Climate Data</w:t>
      </w:r>
      <w:r>
        <w:t xml:space="preserve"> </w:t>
      </w:r>
      <w:r>
        <w:t xml:space="preserve">Portal. The datasets cover the years 2007-2023 at the Taunton Airport in</w:t>
      </w:r>
      <w:r>
        <w:t xml:space="preserve"> </w:t>
      </w:r>
      <w:r>
        <w:t xml:space="preserve">Bristol County.</w:t>
      </w:r>
    </w:p>
    <w:p>
      <w:pPr>
        <w:pStyle w:val="BodyText"/>
      </w:pPr>
      <w:r>
        <w:t xml:space="preserve">The hourly summaries were used to calculate weather variables, such as</w:t>
      </w:r>
      <w:r>
        <w:t xml:space="preserve"> </w:t>
      </w:r>
      <w:r>
        <w:t xml:space="preserve">the daily maximum temperature and precipitation. While daily summaries</w:t>
      </w:r>
      <w:r>
        <w:t xml:space="preserve"> </w:t>
      </w:r>
      <w:r>
        <w:t xml:space="preserve">provide this information will less processing, the hourly summaries</w:t>
      </w:r>
      <w:r>
        <w:t xml:space="preserve"> </w:t>
      </w:r>
      <w:r>
        <w:t xml:space="preserve">provide more granular data that can be used to calculate additional</w:t>
      </w:r>
      <w:r>
        <w:t xml:space="preserve"> </w:t>
      </w:r>
      <w:r>
        <w:t xml:space="preserve">variables, such as the number of hours above a certain temperature</w:t>
      </w:r>
      <w:r>
        <w:t xml:space="preserve"> </w:t>
      </w:r>
      <w:r>
        <w:t xml:space="preserve">threshold. or degree-days. Degree-days is a measure of the amount of</w:t>
      </w:r>
      <w:r>
        <w:t xml:space="preserve"> </w:t>
      </w:r>
      <w:r>
        <w:t xml:space="preserve">heat accumulated over a period of time. It is calculated by summing the</w:t>
      </w:r>
      <w:r>
        <w:t xml:space="preserve"> </w:t>
      </w:r>
      <w:r>
        <w:t xml:space="preserve">difference between the average daily temperature and a base temperature.</w:t>
      </w:r>
      <w:r>
        <w:t xml:space="preserve"> </w:t>
      </w:r>
      <w:r>
        <w:t xml:space="preserve">Degree-days are used to estimate the rate of development of insects and</w:t>
      </w:r>
      <w:r>
        <w:t xml:space="preserve"> </w:t>
      </w:r>
      <w:r>
        <w:t xml:space="preserve">other organisms that are sensitive to temperature. For mosquitoes,</w:t>
      </w:r>
      <w:r>
        <w:t xml:space="preserve"> </w:t>
      </w:r>
      <w:r>
        <w:t xml:space="preserve">degree-days can be used to estimate the rate of larval development and</w:t>
      </w:r>
      <w:r>
        <w:t xml:space="preserve"> </w:t>
      </w:r>
      <w:r>
        <w:t xml:space="preserve">the time between when a mosquito ingests a virus and when it can</w:t>
      </w:r>
      <w:r>
        <w:t xml:space="preserve"> </w:t>
      </w:r>
      <w:r>
        <w:t xml:space="preserve">transmit it</w:t>
      </w:r>
      <w:r>
        <w:t xml:space="preserve"> </w:t>
      </w:r>
      <w:r>
        <w:t xml:space="preserve">(Gu and Novak 2006)</w:t>
      </w:r>
      <w:r>
        <w:t xml:space="preserve">. To simplify this</w:t>
      </w:r>
      <w:r>
        <w:t xml:space="preserve"> </w:t>
      </w:r>
      <w:r>
        <w:t xml:space="preserve">variable, the number of hours the temperature was ≥50°F and ≤86°F. These</w:t>
      </w:r>
      <w:r>
        <w:t xml:space="preserve"> </w:t>
      </w:r>
      <w:r>
        <w:t xml:space="preserve">thresholds were chosen based on the known temperature range for mosquito</w:t>
      </w:r>
      <w:r>
        <w:t xml:space="preserve"> </w:t>
      </w:r>
      <w:r>
        <w:t xml:space="preserve">development and virus transmission.</w:t>
      </w:r>
    </w:p>
    <w:p>
      <w:pPr>
        <w:pStyle w:val="BodyText"/>
      </w:pPr>
      <w:r>
        <w:t xml:space="preserve">In addition to the weather summaries, drought data will be included in</w:t>
      </w:r>
      <w:r>
        <w:t xml:space="preserve"> </w:t>
      </w:r>
      <w:r>
        <w:t xml:space="preserve">the models. West Nile Virus (WNV) research suggests that drought has</w:t>
      </w:r>
      <w:r>
        <w:t xml:space="preserve"> </w:t>
      </w:r>
      <w:r>
        <w:t xml:space="preserve">been a driver in WNV outbreaks. While the lack of water can lead to</w:t>
      </w:r>
      <w:r>
        <w:t xml:space="preserve"> </w:t>
      </w:r>
      <w:r>
        <w:t xml:space="preserve">smaller mosquito populations, drought can lead to higher prevelance of</w:t>
      </w:r>
      <w:r>
        <w:t xml:space="preserve"> </w:t>
      </w:r>
      <w:r>
        <w:t xml:space="preserve">mosquito infection</w:t>
      </w:r>
      <w:r>
        <w:t xml:space="preserve"> </w:t>
      </w:r>
      <w:r>
        <w:t xml:space="preserve">(Paull et al. 2017)</w:t>
      </w:r>
      <w:r>
        <w:t xml:space="preserve">. Drought data</w:t>
      </w:r>
      <w:r>
        <w:t xml:space="preserve"> </w:t>
      </w:r>
      <w:r>
        <w:t xml:space="preserve">was obtained from the US Drought Monitor and the Federal Emergency</w:t>
      </w:r>
      <w:r>
        <w:t xml:space="preserve"> </w:t>
      </w:r>
      <w:r>
        <w:t xml:space="preserve">Management Agency (FEMA). The data includes weekly drought severity</w:t>
      </w:r>
      <w:r>
        <w:t xml:space="preserve"> </w:t>
      </w:r>
      <w:r>
        <w:t xml:space="preserve">ratings for the entire United States. The data is available at county</w:t>
      </w:r>
      <w:r>
        <w:t xml:space="preserve"> </w:t>
      </w:r>
      <w:r>
        <w:t xml:space="preserve">and regional levels and will be used to calculate the number of weeks in</w:t>
      </w:r>
      <w:r>
        <w:t xml:space="preserve"> </w:t>
      </w:r>
      <w:r>
        <w:t xml:space="preserve">drought conditions and the severity of the drought. For this project,</w:t>
      </w:r>
      <w:r>
        <w:t xml:space="preserve"> </w:t>
      </w:r>
      <w:r>
        <w:t xml:space="preserve">drought data for Bristol County, MA, will be used and incorporated with</w:t>
      </w:r>
      <w:r>
        <w:t xml:space="preserve"> </w:t>
      </w:r>
      <w:r>
        <w:t xml:space="preserve">FEMA East Coast regions (I-IV) drought indicators.</w:t>
      </w:r>
    </w:p>
    <w:bookmarkEnd w:id="31"/>
    <w:bookmarkEnd w:id="32"/>
    <w:bookmarkStart w:id="33" w:name="data-import-and-cleaning"/>
    <w:p>
      <w:pPr>
        <w:pStyle w:val="Heading2"/>
      </w:pPr>
      <w:r>
        <w:t xml:space="preserve">Data import and cleaning</w:t>
      </w:r>
    </w:p>
    <w:p>
      <w:pPr>
        <w:pStyle w:val="FirstParagraph"/>
      </w:pPr>
      <w:r>
        <w:t xml:space="preserve">Datasets will be loaded into R in a Quarto document to document and the</w:t>
      </w:r>
      <w:r>
        <w:t xml:space="preserve"> </w:t>
      </w:r>
      <w:r>
        <w:t xml:space="preserve">processing methods will be documented.</w:t>
      </w:r>
    </w:p>
    <w:p>
      <w:pPr>
        <w:pStyle w:val="BodyText"/>
      </w:pPr>
      <w:r>
        <w:t xml:space="preserve">The Massachusetts Department of Public Health mandates a specific format</w:t>
      </w:r>
      <w:r>
        <w:t xml:space="preserve"> </w:t>
      </w:r>
      <w:r>
        <w:t xml:space="preserve">for mosquito control districts to submit their collection data. In this</w:t>
      </w:r>
      <w:r>
        <w:t xml:space="preserve"> </w:t>
      </w:r>
      <w:r>
        <w:t xml:space="preserve">format, each trap event is divided into separate rows based on mosquito</w:t>
      </w:r>
      <w:r>
        <w:t xml:space="preserve"> </w:t>
      </w:r>
      <w:r>
        <w:t xml:space="preserve">species and whether they were submitted for virus testing. However, this</w:t>
      </w:r>
      <w:r>
        <w:t xml:space="preserve"> </w:t>
      </w:r>
      <w:r>
        <w:t xml:space="preserve">format poses limitations for certain calculations where a zero count for</w:t>
      </w:r>
      <w:r>
        <w:t xml:space="preserve"> </w:t>
      </w:r>
      <w:r>
        <w:t xml:space="preserve">a species is not explicitly recorded. For instance, when sorting data by</w:t>
      </w:r>
      <w:r>
        <w:t xml:space="preserve"> </w:t>
      </w:r>
      <w:r>
        <w:t xml:space="preserve">species to calculate the average count per trap, the absence of records</w:t>
      </w:r>
      <w:r>
        <w:t xml:space="preserve"> </w:t>
      </w:r>
      <w:r>
        <w:t xml:space="preserve">with a zero count could inflate the calculated average.</w:t>
      </w:r>
    </w:p>
    <w:p>
      <w:pPr>
        <w:pStyle w:val="BodyText"/>
      </w:pPr>
      <w:r>
        <w:t xml:space="preserve">To address this issue, the data was transformed by pivoting it to create</w:t>
      </w:r>
      <w:r>
        <w:t xml:space="preserve"> </w:t>
      </w:r>
      <w:r>
        <w:t xml:space="preserve">a column for every unique</w:t>
      </w:r>
      <w:r>
        <w:t xml:space="preserve"> </w:t>
      </w:r>
      <w:r>
        <w:t xml:space="preserve">“</w:t>
      </w:r>
      <w:r>
        <w:t xml:space="preserve">species code.</w:t>
      </w:r>
      <w:r>
        <w:t xml:space="preserve">”</w:t>
      </w:r>
      <w:r>
        <w:t xml:space="preserve"> </w:t>
      </w:r>
      <w:r>
        <w:t xml:space="preserve">Then, the</w:t>
      </w:r>
      <w:r>
        <w:t xml:space="preserve"> </w:t>
      </w:r>
      <w:r>
        <w:t xml:space="preserve">“</w:t>
      </w:r>
      <w:r>
        <w:t xml:space="preserve">pool size</w:t>
      </w:r>
      <w:r>
        <w:t xml:space="preserve">”</w:t>
      </w:r>
      <w:r>
        <w:t xml:space="preserve"> </w:t>
      </w:r>
      <w:r>
        <w:t xml:space="preserve">for each</w:t>
      </w:r>
      <w:r>
        <w:t xml:space="preserve"> </w:t>
      </w:r>
      <w:r>
        <w:t xml:space="preserve">species code was summed for every trap event, defined as instances where</w:t>
      </w:r>
      <w:r>
        <w:t xml:space="preserve"> </w:t>
      </w:r>
      <w:r>
        <w:t xml:space="preserve">“</w:t>
      </w:r>
      <w:r>
        <w:t xml:space="preserve">town,</w:t>
      </w:r>
      <w:r>
        <w:t xml:space="preserve">”</w:t>
      </w:r>
      <w:r>
        <w:t xml:space="preserve"> </w:t>
      </w:r>
      <w:r>
        <w:t xml:space="preserve">“</w:t>
      </w:r>
      <w:r>
        <w:t xml:space="preserve">date of collection,</w:t>
      </w:r>
      <w:r>
        <w:t xml:space="preserve">”</w:t>
      </w:r>
      <w:r>
        <w:t xml:space="preserve"> </w:t>
      </w:r>
      <w:r>
        <w:t xml:space="preserve">and</w:t>
      </w:r>
      <w:r>
        <w:t xml:space="preserve"> </w:t>
      </w:r>
      <w:r>
        <w:t xml:space="preserve">“</w:t>
      </w:r>
      <w:r>
        <w:t xml:space="preserve">trap type</w:t>
      </w:r>
      <w:r>
        <w:t xml:space="preserve">”</w:t>
      </w:r>
      <w:r>
        <w:t xml:space="preserve"> </w:t>
      </w:r>
      <w:r>
        <w:t xml:space="preserve">are identical. For species</w:t>
      </w:r>
      <w:r>
        <w:t xml:space="preserve"> </w:t>
      </w:r>
      <w:r>
        <w:t xml:space="preserve">codes not originally included in the table for a trap event, the</w:t>
      </w:r>
      <w:r>
        <w:t xml:space="preserve"> </w:t>
      </w:r>
      <w:r>
        <w:t xml:space="preserve">corresponding field was assigned a zero value. As a result, the</w:t>
      </w:r>
      <w:r>
        <w:t xml:space="preserve"> </w:t>
      </w:r>
      <w:r>
        <w:t xml:space="preserve">resulting table now contains one row for each trap event.</w:t>
      </w:r>
    </w:p>
    <w:bookmarkEnd w:id="33"/>
    <w:bookmarkEnd w:id="34"/>
    <w:bookmarkStart w:id="56" w:name="methods"/>
    <w:p>
      <w:pPr>
        <w:pStyle w:val="Heading1"/>
      </w:pPr>
      <w:r>
        <w:t xml:space="preserve">Methods</w:t>
      </w:r>
    </w:p>
    <w:p>
      <w:pPr>
        <w:pStyle w:val="FirstParagraph"/>
      </w:pPr>
      <w:r>
        <w:t xml:space="preserve">Symptomatic EEE human cases are rare. On average, the United States</w:t>
      </w:r>
      <w:r>
        <w:t xml:space="preserve"> </w:t>
      </w:r>
      <w:r>
        <w:t xml:space="preserve">records only about 9 cases of EEE annually. Notably, Massachusetts</w:t>
      </w:r>
      <w:r>
        <w:t xml:space="preserve"> </w:t>
      </w:r>
      <w:r>
        <w:t xml:space="preserve">reports more cases than any other state except Florida, highlighting</w:t>
      </w:r>
      <w:r>
        <w:t xml:space="preserve"> </w:t>
      </w:r>
      <w:r>
        <w:t xml:space="preserve">regional disparities in disease occurrence. However, the incidence rate</w:t>
      </w:r>
      <w:r>
        <w:t xml:space="preserve"> </w:t>
      </w:r>
      <w:r>
        <w:t xml:space="preserve">for neuroinvasive EEE cases in Bristol County, Massachusetts, is</w:t>
      </w:r>
      <w:r>
        <w:t xml:space="preserve"> </w:t>
      </w:r>
      <w:r>
        <w:t xml:space="preserve">estimated to be only around 0.06 per 100,000 people</w:t>
      </w:r>
      <w:r>
        <w:t xml:space="preserve"> </w:t>
      </w:r>
      <w:r>
        <w:t xml:space="preserve">(Centers for Disease Control and Prevention 2022)</w:t>
      </w:r>
      <w:r>
        <w:t xml:space="preserve">. The</w:t>
      </w:r>
      <w:r>
        <w:t xml:space="preserve"> </w:t>
      </w:r>
      <w:r>
        <w:t xml:space="preserve">low incidence of human cases poses significant challenges for using</w:t>
      </w:r>
      <w:r>
        <w:t xml:space="preserve"> </w:t>
      </w:r>
      <w:r>
        <w:t xml:space="preserve">traditional statistical models, making it difficult to accurately</w:t>
      </w:r>
      <w:r>
        <w:t xml:space="preserve"> </w:t>
      </w:r>
      <w:r>
        <w:t xml:space="preserve">estimate human transmission risk. This difficulty is largely due to the</w:t>
      </w:r>
      <w:r>
        <w:t xml:space="preserve"> </w:t>
      </w:r>
      <w:r>
        <w:t xml:space="preserve">sparse nature of the data and the variability in transmission patterns,</w:t>
      </w:r>
      <w:r>
        <w:t xml:space="preserve"> </w:t>
      </w:r>
      <w:r>
        <w:t xml:space="preserve">which complicates efforts to predict outbreaks and necessitates</w:t>
      </w:r>
      <w:r>
        <w:t xml:space="preserve"> </w:t>
      </w:r>
      <w:r>
        <w:t xml:space="preserve">alternative modeling approaches.</w:t>
      </w:r>
    </w:p>
    <w:p>
      <w:pPr>
        <w:pStyle w:val="BodyText"/>
      </w:pPr>
      <w:r>
        <w:t xml:space="preserve">MIR will be the main outcome of interest for this project. MIR values</w:t>
      </w:r>
      <w:r>
        <w:t xml:space="preserve"> </w:t>
      </w:r>
      <w:r>
        <w:t xml:space="preserve">will be calculated for each week during the surveillance season over the</w:t>
      </w:r>
      <w:r>
        <w:t xml:space="preserve"> </w:t>
      </w:r>
      <w:r>
        <w:t xml:space="preserve">entire county.</w:t>
      </w:r>
    </w:p>
    <w:p>
      <w:pPr>
        <w:pStyle w:val="BodyText"/>
      </w:pPr>
      <w:r>
        <w:t xml:space="preserve">After MIR was calculated and joined with weather and climate data, the</w:t>
      </w:r>
      <w:r>
        <w:t xml:space="preserve"> </w:t>
      </w:r>
      <w:r>
        <w:t xml:space="preserve">distribution of the MIR was examined more closely. About 72% of the</w:t>
      </w:r>
      <w:r>
        <w:t xml:space="preserve"> </w:t>
      </w:r>
      <w:r>
        <w:t xml:space="preserve">records were zero values, which is not uncommon for this type of data.</w:t>
      </w:r>
      <w:r>
        <w:t xml:space="preserve"> </w:t>
      </w:r>
      <w:r>
        <w:t xml:space="preserve">The non-zero values were skewed to the left and there was strong</w:t>
      </w:r>
      <w:r>
        <w:t xml:space="preserve"> </w:t>
      </w:r>
      <w:r>
        <w:t xml:space="preserve">evidence of over-dispersion.</w:t>
      </w:r>
    </w:p>
    <w:p>
      <w:pPr>
        <w:pStyle w:val="BodyText"/>
      </w:pPr>
      <w:r>
        <w:drawing>
          <wp:inline>
            <wp:extent cx="5334000" cy="4000499"/>
            <wp:effectExtent b="0" l="0" r="0" t="0"/>
            <wp:docPr descr="" title="" id="36" name="Picture"/>
            <a:graphic>
              <a:graphicData uri="http://schemas.openxmlformats.org/drawingml/2006/picture">
                <pic:pic>
                  <pic:nvPicPr>
                    <pic:cNvPr descr="images/mir_density_plot.png" id="37"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average MIR was 1.26, with an observed variance of 7.56, resulting</w:t>
      </w:r>
      <w:r>
        <w:t xml:space="preserve"> </w:t>
      </w:r>
      <w:r>
        <w:t xml:space="preserve">in a Variance-to-Mean Ratio (VMR) of 6.00. This pronounced</w:t>
      </w:r>
      <w:r>
        <w:t xml:space="preserve"> </w:t>
      </w:r>
      <w:r>
        <w:t xml:space="preserve">overdispersion suggests that mosquito infection rates were not uniformly</w:t>
      </w:r>
      <w:r>
        <w:t xml:space="preserve"> </w:t>
      </w:r>
      <w:r>
        <w:t xml:space="preserve">distributed over time or space. Instead, they may have been influenced</w:t>
      </w:r>
      <w:r>
        <w:t xml:space="preserve"> </w:t>
      </w:r>
      <w:r>
        <w:t xml:space="preserve">by a range of factors, such as environmental conditions or variations in</w:t>
      </w:r>
      <w:r>
        <w:t xml:space="preserve"> </w:t>
      </w:r>
      <w:r>
        <w:t xml:space="preserve">amplifying host abundance.</w:t>
      </w:r>
    </w:p>
    <w:p>
      <w:pPr>
        <w:pStyle w:val="BodyText"/>
      </w:pPr>
      <w:r>
        <w:t xml:space="preserve">The data was visualized to identify trends and relationships between the</w:t>
      </w:r>
      <w:r>
        <w:t xml:space="preserve"> </w:t>
      </w:r>
      <w:r>
        <w:t xml:space="preserve">variables. There were no clear patterns in the data between MIR and the</w:t>
      </w:r>
      <w:r>
        <w:t xml:space="preserve"> </w:t>
      </w:r>
      <w:r>
        <w:t xml:space="preserve">potential predictors. However, several varibles showed a non-linear</w:t>
      </w:r>
      <w:r>
        <w:t xml:space="preserve"> </w:t>
      </w:r>
      <w:r>
        <w:t xml:space="preserve">relationship with MIR. For example, the relationship between MIR and</w:t>
      </w:r>
      <w:r>
        <w:t xml:space="preserve"> </w:t>
      </w:r>
      <w:r>
        <w:t xml:space="preserve">average temperature was not linear. Instead, MIR increased with</w:t>
      </w:r>
      <w:r>
        <w:t xml:space="preserve"> </w:t>
      </w:r>
      <w:r>
        <w:t xml:space="preserve">temperature up to a certain point, then decreased. This suggests that</w:t>
      </w:r>
      <w:r>
        <w:t xml:space="preserve"> </w:t>
      </w:r>
      <w:r>
        <w:t xml:space="preserve">the relationship between temperature and MIR may be more complex than a</w:t>
      </w:r>
      <w:r>
        <w:t xml:space="preserve"> </w:t>
      </w:r>
      <w:r>
        <w:t xml:space="preserve">simple linear model can capture.</w:t>
      </w:r>
    </w:p>
    <w:p>
      <w:pPr>
        <w:pStyle w:val="BodyText"/>
      </w:pPr>
      <w:r>
        <w:t xml:space="preserve">In response to the observed non-linear relationships in the data, a</w:t>
      </w:r>
      <w:r>
        <w:t xml:space="preserve"> </w:t>
      </w:r>
      <w:r>
        <w:t xml:space="preserve">two-stage Generalized Additive Model (GAM) analysis was used. GAMs</w:t>
      </w:r>
      <w:r>
        <w:t xml:space="preserve"> </w:t>
      </w:r>
      <w:r>
        <w:t xml:space="preserve">provide a versatile framework for capturing complex, non-linear</w:t>
      </w:r>
      <w:r>
        <w:t xml:space="preserve"> </w:t>
      </w:r>
      <w:r>
        <w:t xml:space="preserve">relationships between response variables and multiple predictors, which</w:t>
      </w:r>
      <w:r>
        <w:t xml:space="preserve"> </w:t>
      </w:r>
      <w:r>
        <w:t xml:space="preserve">are often encountered in ecological data sets.</w:t>
      </w:r>
    </w:p>
    <w:p>
      <w:pPr>
        <w:pStyle w:val="BodyText"/>
      </w:pPr>
      <w:r>
        <w:t xml:space="preserve">In the first stage of the analysis, the GAM was utilized to address the</w:t>
      </w:r>
      <w:r>
        <w:t xml:space="preserve"> </w:t>
      </w:r>
      <w:r>
        <w:t xml:space="preserve">high incidence of zeros in the dataset. This zero-inflated model allowed</w:t>
      </w:r>
      <w:r>
        <w:t xml:space="preserve"> </w:t>
      </w:r>
      <w:r>
        <w:t xml:space="preserve">us to separately model the presence versus absence of the outcome</w:t>
      </w:r>
      <w:r>
        <w:t xml:space="preserve"> </w:t>
      </w:r>
      <w:r>
        <w:t xml:space="preserve">variable, thereby appropriately accounting for the excessive zeros.</w:t>
      </w:r>
    </w:p>
    <w:p>
      <w:pPr>
        <w:pStyle w:val="BodyText"/>
      </w:pPr>
      <w:r>
        <w:t xml:space="preserve">The second stage of the GAM focused on modeling the continuous part of</w:t>
      </w:r>
      <w:r>
        <w:t xml:space="preserve"> </w:t>
      </w:r>
      <w:r>
        <w:t xml:space="preserve">the MIR data, relating it to the suite of potential predictors. This</w:t>
      </w:r>
      <w:r>
        <w:t xml:space="preserve"> </w:t>
      </w:r>
      <w:r>
        <w:t xml:space="preserve">step incorporated smooth functions of the predictors, permitting the</w:t>
      </w:r>
      <w:r>
        <w:t xml:space="preserve"> </w:t>
      </w:r>
      <w:r>
        <w:t xml:space="preserve">data to inform the shape of the relationship without imposing a</w:t>
      </w:r>
      <w:r>
        <w:t xml:space="preserve"> </w:t>
      </w:r>
      <w:r>
        <w:t xml:space="preserve">predetermined form, as would be the case in a traditional linear model.</w:t>
      </w:r>
    </w:p>
    <w:p>
      <w:pPr>
        <w:pStyle w:val="BodyText"/>
      </w:pPr>
      <w:r>
        <w:t xml:space="preserve">While the two-stage Generalized Additive Model (GAM) initially seemed to</w:t>
      </w:r>
      <w:r>
        <w:t xml:space="preserve"> </w:t>
      </w:r>
      <w:r>
        <w:t xml:space="preserve">be a suitable approach, there were insufficient observations to yield a</w:t>
      </w:r>
      <w:r>
        <w:t xml:space="preserve"> </w:t>
      </w:r>
      <w:r>
        <w:t xml:space="preserve">robust estimate of the relationship between the predictors and Minimum</w:t>
      </w:r>
      <w:r>
        <w:t xml:space="preserve"> </w:t>
      </w:r>
      <w:r>
        <w:t xml:space="preserve">Infection Rate (MIR). Despite starting with a dataset containing over</w:t>
      </w:r>
      <w:r>
        <w:t xml:space="preserve"> </w:t>
      </w:r>
      <w:r>
        <w:t xml:space="preserve">40,000 observations, the transformation of the data into a rectangular</w:t>
      </w:r>
      <w:r>
        <w:t xml:space="preserve"> </w:t>
      </w:r>
      <w:r>
        <w:t xml:space="preserve">shape required for analysis resulted in fewer than 400 observations in</w:t>
      </w:r>
      <w:r>
        <w:t xml:space="preserve"> </w:t>
      </w:r>
      <w:r>
        <w:t xml:space="preserve">the final dataset. After removing the zeros for part 2 of the GAM, the</w:t>
      </w:r>
      <w:r>
        <w:t xml:space="preserve"> </w:t>
      </w:r>
      <w:r>
        <w:t xml:space="preserve">number of observations decreased to less than 100. Consequently, a</w:t>
      </w:r>
      <w:r>
        <w:t xml:space="preserve"> </w:t>
      </w:r>
      <w:r>
        <w:t xml:space="preserve">decision was made to utilize a single GAM with a dataset containing both</w:t>
      </w:r>
      <w:r>
        <w:t xml:space="preserve"> </w:t>
      </w:r>
      <w:r>
        <w:t xml:space="preserve">zero and non-zero observations. Although adopting a single-part model</w:t>
      </w:r>
      <w:r>
        <w:t xml:space="preserve"> </w:t>
      </w:r>
      <w:r>
        <w:t xml:space="preserve">led to some loss of precision, the increase in the number of</w:t>
      </w:r>
      <w:r>
        <w:t xml:space="preserve"> </w:t>
      </w:r>
      <w:r>
        <w:t xml:space="preserve">observations was deemed more advantageous.</w:t>
      </w:r>
    </w:p>
    <w:bookmarkStart w:id="50" w:name="exploratorydescriptive-analysis"/>
    <w:p>
      <w:pPr>
        <w:pStyle w:val="Heading2"/>
      </w:pPr>
      <w:r>
        <w:t xml:space="preserve">Exploratory/Descriptive analysis</w:t>
      </w:r>
    </w:p>
    <w:p>
      <w:pPr>
        <w:pStyle w:val="FirstParagraph"/>
      </w:pPr>
      <w:r>
        <w:t xml:space="preserve">One factor to consider is if early virus isolations are associated with</w:t>
      </w:r>
      <w:r>
        <w:t xml:space="preserve"> </w:t>
      </w:r>
      <w:r>
        <w:t xml:space="preserve">cases in humans and other mammals. The table below shows the date of the</w:t>
      </w:r>
      <w:r>
        <w:t xml:space="preserve"> </w:t>
      </w:r>
      <w:r>
        <w:t xml:space="preserve">first EEE virus isolation in mosquitoes and the number of human of other</w:t>
      </w:r>
      <w:r>
        <w:t xml:space="preserve"> </w:t>
      </w:r>
      <w:r>
        <w:t xml:space="preserve">animal cases by year.</w:t>
      </w:r>
    </w:p>
    <w:p>
      <w:pPr>
        <w:pStyle w:val="BodyText"/>
      </w:pPr>
      <w:r>
        <w:drawing>
          <wp:inline>
            <wp:extent cx="2390775" cy="2854069"/>
            <wp:effectExtent b="0" l="0" r="0" t="0"/>
            <wp:docPr descr="" title="" id="39" name="Picture"/>
            <a:graphic>
              <a:graphicData uri="http://schemas.openxmlformats.org/drawingml/2006/picture">
                <pic:pic>
                  <pic:nvPicPr>
                    <pic:cNvPr descr="images/eee_isolation_cases-04.png" id="40" name="Picture"/>
                    <pic:cNvPicPr>
                      <a:picLocks noChangeArrowheads="1" noChangeAspect="1"/>
                    </pic:cNvPicPr>
                  </pic:nvPicPr>
                  <pic:blipFill>
                    <a:blip r:embed="rId38"/>
                    <a:stretch>
                      <a:fillRect/>
                    </a:stretch>
                  </pic:blipFill>
                  <pic:spPr bwMode="auto">
                    <a:xfrm>
                      <a:off x="0" y="0"/>
                      <a:ext cx="2390775" cy="2854069"/>
                    </a:xfrm>
                    <a:prstGeom prst="rect">
                      <a:avLst/>
                    </a:prstGeom>
                    <a:noFill/>
                    <a:ln w="9525">
                      <a:noFill/>
                      <a:headEnd/>
                      <a:tailEnd/>
                    </a:ln>
                  </pic:spPr>
                </pic:pic>
              </a:graphicData>
            </a:graphic>
          </wp:inline>
        </w:drawing>
      </w:r>
    </w:p>
    <w:p>
      <w:pPr>
        <w:pStyle w:val="BodyText"/>
      </w:pPr>
      <w:r>
        <w:rPr>
          <w:iCs/>
          <w:i/>
        </w:rPr>
        <w:t xml:space="preserve">Culiseta melanura</w:t>
      </w:r>
      <w:r>
        <w:t xml:space="preserve"> </w:t>
      </w:r>
      <w:r>
        <w:t xml:space="preserve">(MEL) plays an important role in EEE virus</w:t>
      </w:r>
      <w:r>
        <w:t xml:space="preserve"> </w:t>
      </w:r>
      <w:r>
        <w:t xml:space="preserve">amplification in the enzootic cycle. Understanding the population</w:t>
      </w:r>
      <w:r>
        <w:t xml:space="preserve"> </w:t>
      </w:r>
      <w:r>
        <w:t xml:space="preserve">dynamics might provide more insight into what is driving the spikes,</w:t>
      </w:r>
      <w:r>
        <w:t xml:space="preserve"> </w:t>
      </w:r>
      <w:r>
        <w:t xml:space="preserve">like in 2019.</w:t>
      </w:r>
    </w:p>
    <w:p>
      <w:pPr>
        <w:pStyle w:val="BodyText"/>
      </w:pPr>
      <w:r>
        <w:t xml:space="preserve">The graph below shows the proportion of MEL among all mosquito vector</w:t>
      </w:r>
      <w:r>
        <w:t xml:space="preserve"> </w:t>
      </w:r>
      <w:r>
        <w:t xml:space="preserve">species trapped in Bristol County, MA.</w:t>
      </w:r>
    </w:p>
    <w:p>
      <w:pPr>
        <w:pStyle w:val="BodyText"/>
      </w:pPr>
      <w:r>
        <w:drawing>
          <wp:inline>
            <wp:extent cx="5334000" cy="4000499"/>
            <wp:effectExtent b="0" l="0" r="0" t="0"/>
            <wp:docPr descr="" title="" id="42" name="Picture"/>
            <a:graphic>
              <a:graphicData uri="http://schemas.openxmlformats.org/drawingml/2006/picture">
                <pic:pic>
                  <pic:nvPicPr>
                    <pic:cNvPr descr="images/mel_proportion.png" id="43"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From this we see a large proportion of MEL in the traps for 2019. In</w:t>
      </w:r>
      <w:r>
        <w:t xml:space="preserve"> </w:t>
      </w:r>
      <w:r>
        <w:t xml:space="preserve">fact, they comprise more than half of all vector species for that year.</w:t>
      </w:r>
      <w:r>
        <w:t xml:space="preserve"> </w:t>
      </w:r>
      <w:r>
        <w:t xml:space="preserve">Another interesting aspect is the high proportion in 2018. MEL</w:t>
      </w:r>
      <w:r>
        <w:t xml:space="preserve"> </w:t>
      </w:r>
      <w:r>
        <w:t xml:space="preserve">overwinters as larvae and as long as there is sufficient standing water</w:t>
      </w:r>
      <w:r>
        <w:t xml:space="preserve"> </w:t>
      </w:r>
      <w:r>
        <w:t xml:space="preserve">to last the winter, MEL hatched in the previous fall would survive to</w:t>
      </w:r>
      <w:r>
        <w:t xml:space="preserve"> </w:t>
      </w:r>
      <w:r>
        <w:t xml:space="preserve">emerge the next year. This suggests it might be important to look at</w:t>
      </w:r>
      <w:r>
        <w:t xml:space="preserve"> </w:t>
      </w:r>
      <w:r>
        <w:t xml:space="preserve">conditions in the previous year or season for a better understanding.</w:t>
      </w:r>
    </w:p>
    <w:p>
      <w:pPr>
        <w:pStyle w:val="BodyText"/>
      </w:pPr>
      <w:r>
        <w:t xml:space="preserve">Since water plays a significant role in the mosquito life cycle, let’s</w:t>
      </w:r>
      <w:r>
        <w:t xml:space="preserve"> </w:t>
      </w:r>
      <w:r>
        <w:t xml:space="preserve">look at the annual precipitation.</w:t>
      </w:r>
    </w:p>
    <w:p>
      <w:pPr>
        <w:pStyle w:val="BodyText"/>
      </w:pPr>
      <w:r>
        <w:drawing>
          <wp:inline>
            <wp:extent cx="5334000" cy="4000499"/>
            <wp:effectExtent b="0" l="0" r="0" t="0"/>
            <wp:docPr descr="" title="" id="45" name="Picture"/>
            <a:graphic>
              <a:graphicData uri="http://schemas.openxmlformats.org/drawingml/2006/picture">
                <pic:pic>
                  <pic:nvPicPr>
                    <pic:cNvPr descr="images/annual_precip-02.png" id="46" name="Picture"/>
                    <pic:cNvPicPr>
                      <a:picLocks noChangeArrowheads="1" noChangeAspect="1"/>
                    </pic:cNvPicPr>
                  </pic:nvPicPr>
                  <pic:blipFill>
                    <a:blip r:embed="rId4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graph indicates that the annual precipitation total for 2018 is</w:t>
      </w:r>
      <w:r>
        <w:t xml:space="preserve"> </w:t>
      </w:r>
      <w:r>
        <w:t xml:space="preserve">higher than the other years. This suggest that there was enough water to</w:t>
      </w:r>
      <w:r>
        <w:t xml:space="preserve"> </w:t>
      </w:r>
      <w:r>
        <w:t xml:space="preserve">support large MEL larval populations though out the winter.</w:t>
      </w:r>
    </w:p>
    <w:p>
      <w:pPr>
        <w:pStyle w:val="BodyText"/>
      </w:pPr>
      <w:r>
        <w:t xml:space="preserve">Another view plots the average annual MEL catch against total</w:t>
      </w:r>
      <w:r>
        <w:t xml:space="preserve"> </w:t>
      </w:r>
      <w:r>
        <w:t xml:space="preserve">precipitation.</w:t>
      </w:r>
    </w:p>
    <w:p>
      <w:pPr>
        <w:pStyle w:val="BodyText"/>
      </w:pPr>
      <w:r>
        <w:drawing>
          <wp:inline>
            <wp:extent cx="5334000" cy="3200399"/>
            <wp:effectExtent b="0" l="0" r="0" t="0"/>
            <wp:docPr descr="" title="" id="48" name="Picture"/>
            <a:graphic>
              <a:graphicData uri="http://schemas.openxmlformats.org/drawingml/2006/picture">
                <pic:pic>
                  <pic:nvPicPr>
                    <pic:cNvPr descr="images/combined_trends_mel_precip.png" id="49" name="Picture"/>
                    <pic:cNvPicPr>
                      <a:picLocks noChangeArrowheads="1" noChangeAspect="1"/>
                    </pic:cNvPicPr>
                  </pic:nvPicPr>
                  <pic:blipFill>
                    <a:blip r:embed="rId47"/>
                    <a:stretch>
                      <a:fillRect/>
                    </a:stretch>
                  </pic:blipFill>
                  <pic:spPr bwMode="auto">
                    <a:xfrm>
                      <a:off x="0" y="0"/>
                      <a:ext cx="5334000" cy="3200399"/>
                    </a:xfrm>
                    <a:prstGeom prst="rect">
                      <a:avLst/>
                    </a:prstGeom>
                    <a:noFill/>
                    <a:ln w="9525">
                      <a:noFill/>
                      <a:headEnd/>
                      <a:tailEnd/>
                    </a:ln>
                  </pic:spPr>
                </pic:pic>
              </a:graphicData>
            </a:graphic>
          </wp:inline>
        </w:drawing>
      </w:r>
    </w:p>
    <w:bookmarkEnd w:id="50"/>
    <w:bookmarkStart w:id="51" w:name="basic-statistical-analysis"/>
    <w:p>
      <w:pPr>
        <w:pStyle w:val="Heading2"/>
      </w:pPr>
      <w:r>
        <w:t xml:space="preserve">Basic statistical analysis</w:t>
      </w:r>
    </w:p>
    <w:p>
      <w:pPr>
        <w:pStyle w:val="FirstParagraph"/>
      </w:pPr>
      <w:r>
        <w:t xml:space="preserve">Basic linear models assessed environmental factors’ impact on the EEE</w:t>
      </w:r>
      <w:r>
        <w:t xml:space="preserve"> </w:t>
      </w:r>
      <w:r>
        <w:t xml:space="preserve">virus transmission cycle. Initial models investigated the link between</w:t>
      </w:r>
      <w:r>
        <w:t xml:space="preserve"> </w:t>
      </w:r>
      <w:r>
        <w:t xml:space="preserve">virus isolation in mosquitoes and weather conditions (average</w:t>
      </w:r>
      <w:r>
        <w:t xml:space="preserve"> </w:t>
      </w:r>
      <w:r>
        <w:t xml:space="preserve">temperature by week and total precipitation). The outcome was whether at</w:t>
      </w:r>
      <w:r>
        <w:t xml:space="preserve"> </w:t>
      </w:r>
      <w:r>
        <w:t xml:space="preserve">least one positive test occurred for a pool in a given week. The</w:t>
      </w:r>
      <w:r>
        <w:t xml:space="preserve"> </w:t>
      </w:r>
      <w:r>
        <w:t xml:space="preserve">predictor in the first model was the average maximum daily temperature</w:t>
      </w:r>
      <w:r>
        <w:t xml:space="preserve"> </w:t>
      </w:r>
      <w:r>
        <w:t xml:space="preserve">from the previous week. The logistic model revealed a significant</w:t>
      </w:r>
      <w:r>
        <w:t xml:space="preserve"> </w:t>
      </w:r>
      <w:r>
        <w:t xml:space="preserve">relationship. Higher temperatures were positively associated with the</w:t>
      </w:r>
      <w:r>
        <w:t xml:space="preserve"> </w:t>
      </w:r>
      <w:r>
        <w:t xml:space="preserve">likelihood of a positive result (odds ratio ≈ 1.069 for each unit</w:t>
      </w:r>
      <w:r>
        <w:t xml:space="preserve"> </w:t>
      </w:r>
      <w:r>
        <w:t xml:space="preserve">increase in temperature; Estimate = 0.06695, SE = 0.02033, p &lt; 0.001).</w:t>
      </w:r>
      <w:r>
        <w:t xml:space="preserve"> </w:t>
      </w:r>
      <w:r>
        <w:t xml:space="preserve">Incorporating Lagged_Avg_TMAX as a predictor improved the model,</w:t>
      </w:r>
      <w:r>
        <w:t xml:space="preserve"> </w:t>
      </w:r>
      <w:r>
        <w:t xml:space="preserve">reducing residual deviance to 405.79 from the null deviance of 417.24,</w:t>
      </w:r>
      <w:r>
        <w:t xml:space="preserve"> </w:t>
      </w:r>
      <w:r>
        <w:t xml:space="preserve">indicating a better fit. However, residual deviance on 299 degrees of</w:t>
      </w:r>
      <w:r>
        <w:t xml:space="preserve"> </w:t>
      </w:r>
      <w:r>
        <w:t xml:space="preserve">freedom suggests unexplained variability, indicating other influential</w:t>
      </w:r>
      <w:r>
        <w:t xml:space="preserve"> </w:t>
      </w:r>
      <w:r>
        <w:t xml:space="preserve">factors. The model’s AIC of 411.59 suggests a balance between complexity</w:t>
      </w:r>
      <w:r>
        <w:t xml:space="preserve"> </w:t>
      </w:r>
      <w:r>
        <w:t xml:space="preserve">and predictive power, supporting its utility. Yet, this relationship</w:t>
      </w:r>
      <w:r>
        <w:t xml:space="preserve"> </w:t>
      </w:r>
      <w:r>
        <w:t xml:space="preserve">warrants closer examination due to likely autocorrelation of temperature</w:t>
      </w:r>
      <w:r>
        <w:t xml:space="preserve"> </w:t>
      </w:r>
      <w:r>
        <w:t xml:space="preserve">with progressing weeks during summer months</w:t>
      </w:r>
    </w:p>
    <w:p>
      <w:pPr>
        <w:pStyle w:val="BodyText"/>
      </w:pPr>
      <w:r>
        <w:t xml:space="preserve">While precipitation has been demonstrated to influence the population</w:t>
      </w:r>
      <w:r>
        <w:t xml:space="preserve"> </w:t>
      </w:r>
      <w:r>
        <w:t xml:space="preserve">dynamics it did not show to have any effect on a positive result. This</w:t>
      </w:r>
      <w:r>
        <w:t xml:space="preserve"> </w:t>
      </w:r>
      <w:r>
        <w:t xml:space="preserve">was initailly surprising, but upon after considering the specific</w:t>
      </w:r>
      <w:r>
        <w:t xml:space="preserve"> </w:t>
      </w:r>
      <w:r>
        <w:t xml:space="preserve">habitat of the main EEE enzootic vector,</w:t>
      </w:r>
      <w:r>
        <w:t xml:space="preserve"> </w:t>
      </w:r>
      <w:r>
        <w:rPr>
          <w:iCs/>
          <w:i/>
        </w:rPr>
        <w:t xml:space="preserve">Culiseta melanura</w:t>
      </w:r>
      <w:r>
        <w:t xml:space="preserve">, it makes</w:t>
      </w:r>
      <w:r>
        <w:t xml:space="preserve"> </w:t>
      </w:r>
      <w:r>
        <w:t xml:space="preserve">sense. MEL larvae develop in well insulated crypts that are less</w:t>
      </w:r>
      <w:r>
        <w:t xml:space="preserve"> </w:t>
      </w:r>
      <w:r>
        <w:t xml:space="preserve">sensitive evaporative processes than surface water. The effect of</w:t>
      </w:r>
      <w:r>
        <w:t xml:space="preserve"> </w:t>
      </w:r>
      <w:r>
        <w:t xml:space="preserve">precipitation on MEL larval habitat abundance may be less pronounced</w:t>
      </w:r>
      <w:r>
        <w:t xml:space="preserve"> </w:t>
      </w:r>
      <w:r>
        <w:t xml:space="preserve">than other vector species that develop in open, standing water, like</w:t>
      </w:r>
      <w:r>
        <w:t xml:space="preserve"> </w:t>
      </w:r>
      <w:r>
        <w:t xml:space="preserve">ditches and containers. Another model assessed whether the temperature</w:t>
      </w:r>
      <w:r>
        <w:t xml:space="preserve"> </w:t>
      </w:r>
      <w:r>
        <w:t xml:space="preserve">precipitation in April, May, and June of each year effected the date of</w:t>
      </w:r>
      <w:r>
        <w:t xml:space="preserve"> </w:t>
      </w:r>
      <w:r>
        <w:t xml:space="preserve">the first positive pool test (R file: PT3_edacode). The date of the</w:t>
      </w:r>
      <w:r>
        <w:t xml:space="preserve"> </w:t>
      </w:r>
      <w:r>
        <w:t xml:space="preserve">first positive pool was identified and assigned a day number from</w:t>
      </w:r>
      <w:r>
        <w:t xml:space="preserve"> </w:t>
      </w:r>
      <w:r>
        <w:t xml:space="preserve">January 1st of that year. The predictors in this linear model were the</w:t>
      </w:r>
      <w:r>
        <w:t xml:space="preserve"> </w:t>
      </w:r>
      <w:r>
        <w:t xml:space="preserve">average maximum temperature for April, May, and June and the sum of</w:t>
      </w:r>
      <w:r>
        <w:t xml:space="preserve"> </w:t>
      </w:r>
      <w:r>
        <w:t xml:space="preserve">precipitation for the same time period. None of these predictors were</w:t>
      </w:r>
      <w:r>
        <w:t xml:space="preserve"> </w:t>
      </w:r>
      <w:r>
        <w:t xml:space="preserve">significant.</w:t>
      </w:r>
    </w:p>
    <w:p>
      <w:pPr>
        <w:pStyle w:val="BodyText"/>
      </w:pPr>
      <w:r>
        <w:t xml:space="preserve">There was one other significant result. When MIR is set as the</w:t>
      </w:r>
      <w:r>
        <w:t xml:space="preserve"> </w:t>
      </w:r>
      <w:r>
        <w:t xml:space="preserve">dependent, continuous variable in a linear regression and the average</w:t>
      </w:r>
      <w:r>
        <w:t xml:space="preserve"> </w:t>
      </w:r>
      <w:r>
        <w:t xml:space="preserve">maximum temperature for the previous week is used as the predictor, the</w:t>
      </w:r>
      <w:r>
        <w:t xml:space="preserve"> </w:t>
      </w:r>
      <w:r>
        <w:t xml:space="preserve">model suggests there is a significant inverse relationship. As average</w:t>
      </w:r>
      <w:r>
        <w:t xml:space="preserve"> </w:t>
      </w:r>
      <w:r>
        <w:t xml:space="preserve">temperature increases the week prior to collection, the MIR decreases</w:t>
      </w:r>
      <w:r>
        <w:t xml:space="preserve"> </w:t>
      </w:r>
      <w:r>
        <w:t xml:space="preserve">(model_mir_temp.R). This relationship is counterintutive, especially</w:t>
      </w:r>
      <w:r>
        <w:t xml:space="preserve"> </w:t>
      </w:r>
      <w:r>
        <w:t xml:space="preserve">given the result of the logistic regression and requires more</w:t>
      </w:r>
      <w:r>
        <w:t xml:space="preserve"> </w:t>
      </w:r>
      <w:r>
        <w:t xml:space="preserve">examination.</w:t>
      </w:r>
    </w:p>
    <w:bookmarkEnd w:id="51"/>
    <w:bookmarkStart w:id="55" w:name="statistical-analysis"/>
    <w:p>
      <w:pPr>
        <w:pStyle w:val="Heading2"/>
      </w:pPr>
      <w:r>
        <w:t xml:space="preserve">Statistical analysis</w:t>
      </w:r>
    </w:p>
    <w:p>
      <w:pPr>
        <w:pStyle w:val="FirstParagraph"/>
      </w:pPr>
      <w:r>
        <w:t xml:space="preserve">All detailed model analyses are available in the analysis.qmd file,</w:t>
      </w:r>
      <w:r>
        <w:t xml:space="preserve"> </w:t>
      </w:r>
      <w:r>
        <w:t xml:space="preserve">providing a transparent account of the methodologies employed and the</w:t>
      </w:r>
      <w:r>
        <w:t xml:space="preserve"> </w:t>
      </w:r>
      <w:r>
        <w:t xml:space="preserve">statistical rigor behind the conclusions drawn.</w:t>
      </w:r>
    </w:p>
    <w:p>
      <w:pPr>
        <w:pStyle w:val="BodyText"/>
      </w:pPr>
      <w:r>
        <w:t xml:space="preserve">Before any models were assessed, the RSME for the null model was</w:t>
      </w:r>
      <w:r>
        <w:t xml:space="preserve"> </w:t>
      </w:r>
      <w:r>
        <w:t xml:space="preserve">calculated (2.40). This was used as the basis for assessing model</w:t>
      </w:r>
      <w:r>
        <w:t xml:space="preserve"> </w:t>
      </w:r>
      <w:r>
        <w:t xml:space="preserve">improvement.</w:t>
      </w:r>
    </w:p>
    <w:p>
      <w:pPr>
        <w:pStyle w:val="BodyText"/>
      </w:pPr>
      <w:r>
        <w:t xml:space="preserve">Analysis began with a Generalized Additive Model (GAM) with predictors</w:t>
      </w:r>
      <w:r>
        <w:t xml:space="preserve"> </w:t>
      </w:r>
      <w:r>
        <w:t xml:space="preserve">that were selected based on the exploratory single variable GAM. The</w:t>
      </w:r>
      <w:r>
        <w:t xml:space="preserve"> </w:t>
      </w:r>
      <w:r>
        <w:t xml:space="preserve">variables were chosen if their p=values were &lt;0.05. Eight variables met</w:t>
      </w:r>
      <w:r>
        <w:t xml:space="preserve"> </w:t>
      </w:r>
      <w:r>
        <w:t xml:space="preserve">that condition including: the number of hours below 50°F the week before</w:t>
      </w:r>
      <w:r>
        <w:t xml:space="preserve"> </w:t>
      </w:r>
      <w:r>
        <w:t xml:space="preserve">the mosquito collection week (Hrs_Below_50_lag), the number of hours</w:t>
      </w:r>
      <w:r>
        <w:t xml:space="preserve"> </w:t>
      </w:r>
      <w:r>
        <w:t xml:space="preserve">below 50°F the week of collection (Hrs_Below_50_current), the drought</w:t>
      </w:r>
      <w:r>
        <w:t xml:space="preserve"> </w:t>
      </w:r>
      <w:r>
        <w:t xml:space="preserve">severity index for East Coast FEMA regions (DSCI_fema), the average</w:t>
      </w:r>
      <w:r>
        <w:t xml:space="preserve"> </w:t>
      </w:r>
      <w:r>
        <w:t xml:space="preserve">hourly relative humidity the week of collection</w:t>
      </w:r>
      <w:r>
        <w:t xml:space="preserve"> </w:t>
      </w:r>
      <w:r>
        <w:t xml:space="preserve">(Avg_HourlyRelativeHumidity_current), the average hourly wind speed the</w:t>
      </w:r>
      <w:r>
        <w:t xml:space="preserve"> </w:t>
      </w:r>
      <w:r>
        <w:t xml:space="preserve">week of collection (Avg_HourlyWindSpeed_current), the average number of</w:t>
      </w:r>
      <w:r>
        <w:t xml:space="preserve"> </w:t>
      </w:r>
      <w:r>
        <w:t xml:space="preserve">daylight hours per day (average_daylight_hours), the average number of</w:t>
      </w:r>
      <w:r>
        <w:t xml:space="preserve"> </w:t>
      </w:r>
      <w:r>
        <w:t xml:space="preserve">MEL captured by trap (Average_MEL), and the proportion of MEL captured</w:t>
      </w:r>
      <w:r>
        <w:t xml:space="preserve"> </w:t>
      </w:r>
      <w:r>
        <w:t xml:space="preserve">out of the total number of mosquitoes trapped (MEL_Prop).</w:t>
      </w:r>
    </w:p>
    <w:p>
      <w:pPr>
        <w:pStyle w:val="BodyText"/>
      </w:pPr>
      <w:r>
        <w:t xml:space="preserve">All models included training (.75) and a testing (.25) dataset that were</w:t>
      </w:r>
      <w:r>
        <w:t xml:space="preserve"> </w:t>
      </w:r>
      <w:r>
        <w:t xml:space="preserve">generated using the random seed 123. All analysis can be found in the</w:t>
      </w:r>
      <w:r>
        <w:t xml:space="preserve"> </w:t>
      </w:r>
      <w:r>
        <w:t xml:space="preserve">analysis.qmd file. The first model was a GAM with all eight predictors,</w:t>
      </w:r>
      <w:r>
        <w:t xml:space="preserve"> </w:t>
      </w:r>
      <w:r>
        <w:t xml:space="preserve">followed by a Random Forest, LASSO, Generalized Additive Model with</w:t>
      </w:r>
      <w:r>
        <w:t xml:space="preserve"> </w:t>
      </w:r>
      <w:r>
        <w:t xml:space="preserve">Sparsity (GAMS), and a Gradient Boosting Machine (GBM) model.</w:t>
      </w:r>
    </w:p>
    <w:p>
      <w:pPr>
        <w:pStyle w:val="BodyText"/>
      </w:pPr>
      <w:r>
        <w:t xml:space="preserve">As expected, the RSME is lower for the training dataset than the testing</w:t>
      </w:r>
      <w:r>
        <w:t xml:space="preserve"> </w:t>
      </w:r>
      <w:r>
        <w:t xml:space="preserve">dataset for all models. The RMSE values are displayed in the table</w:t>
      </w:r>
      <w:r>
        <w:t xml:space="preserve"> </w:t>
      </w:r>
      <w:r>
        <w:t xml:space="preserve">below.</w:t>
      </w:r>
    </w:p>
    <w:p>
      <w:pPr>
        <w:pStyle w:val="BodyText"/>
      </w:pPr>
      <w:r>
        <w:drawing>
          <wp:inline>
            <wp:extent cx="5334000" cy="3121377"/>
            <wp:effectExtent b="0" l="0" r="0" t="0"/>
            <wp:docPr descr="" title="" id="53" name="Picture"/>
            <a:graphic>
              <a:graphicData uri="http://schemas.openxmlformats.org/drawingml/2006/picture">
                <pic:pic>
                  <pic:nvPicPr>
                    <pic:cNvPr descr="images/rmse_table-03.png" id="54" name="Picture"/>
                    <pic:cNvPicPr>
                      <a:picLocks noChangeArrowheads="1" noChangeAspect="1"/>
                    </pic:cNvPicPr>
                  </pic:nvPicPr>
                  <pic:blipFill>
                    <a:blip r:embed="rId52"/>
                    <a:stretch>
                      <a:fillRect/>
                    </a:stretch>
                  </pic:blipFill>
                  <pic:spPr bwMode="auto">
                    <a:xfrm>
                      <a:off x="0" y="0"/>
                      <a:ext cx="5334000" cy="3121377"/>
                    </a:xfrm>
                    <a:prstGeom prst="rect">
                      <a:avLst/>
                    </a:prstGeom>
                    <a:noFill/>
                    <a:ln w="9525">
                      <a:noFill/>
                      <a:headEnd/>
                      <a:tailEnd/>
                    </a:ln>
                  </pic:spPr>
                </pic:pic>
              </a:graphicData>
            </a:graphic>
          </wp:inline>
        </w:drawing>
      </w:r>
    </w:p>
    <w:bookmarkEnd w:id="55"/>
    <w:bookmarkEnd w:id="56"/>
    <w:bookmarkStart w:id="59" w:name="discussion"/>
    <w:p>
      <w:pPr>
        <w:pStyle w:val="Heading1"/>
      </w:pPr>
      <w:r>
        <w:t xml:space="preserve">Discussion</w:t>
      </w:r>
    </w:p>
    <w:p>
      <w:pPr>
        <w:pStyle w:val="FirstParagraph"/>
      </w:pPr>
      <w:r>
        <w:t xml:space="preserve">The Root Mean Square Error (RMSE) comparison outlined in the table</w:t>
      </w:r>
      <w:r>
        <w:t xml:space="preserve"> </w:t>
      </w:r>
      <w:r>
        <w:t xml:space="preserve">provides a clear perspective on the efficacy of different predictive</w:t>
      </w:r>
      <w:r>
        <w:t xml:space="preserve"> </w:t>
      </w:r>
      <w:r>
        <w:t xml:space="preserve">models in the context of Eastern Equine Encephalitis (EEE) surveillance</w:t>
      </w:r>
      <w:r>
        <w:t xml:space="preserve"> </w:t>
      </w:r>
      <w:r>
        <w:t xml:space="preserve">in southeastern Massachusetts. The null model, which served as a</w:t>
      </w:r>
      <w:r>
        <w:t xml:space="preserve"> </w:t>
      </w:r>
      <w:r>
        <w:t xml:space="preserve">baseline with an RMSE of 2.40, indicates the level of error absent any</w:t>
      </w:r>
      <w:r>
        <w:t xml:space="preserve"> </w:t>
      </w:r>
      <w:r>
        <w:t xml:space="preserve">predictive influence. This baseline was pivotal for evaluating</w:t>
      </w:r>
      <w:r>
        <w:t xml:space="preserve"> </w:t>
      </w:r>
      <w:r>
        <w:t xml:space="preserve">enhancements brought by more complex models.</w:t>
      </w:r>
    </w:p>
    <w:p>
      <w:pPr>
        <w:pStyle w:val="BodyText"/>
      </w:pPr>
      <w:r>
        <w:t xml:space="preserve">The Generalized Additive Model (GAM), which incorporated eight predictors selected based on their statistical significance from preliminary analyses, demonstrated concerning signs of overfitting. While the model achieved a low RMSE of 1.7 on the training data, indicating a good fit to this dataset, its performance on the testing data was substantially worse, with an RMSE of 3.44. This significant increase in RMSE when applied to the testing data, compared to the training data, suggests that the model, despite fitting the training data well, fails to generalize to new, unseen data. This discrepancy in performance is further highlighted by the testing RMSE being higher than the RMSE of the null model at 2.40, underscoring the limitations of the GAM in this scenario.</w:t>
      </w:r>
    </w:p>
    <w:p>
      <w:pPr>
        <w:pStyle w:val="BodyText"/>
      </w:pPr>
      <w:r>
        <w:t xml:space="preserve">Subsequent models such as the Random Forest, LASSO, Generalized Additive</w:t>
      </w:r>
      <w:r>
        <w:t xml:space="preserve"> </w:t>
      </w:r>
      <w:r>
        <w:t xml:space="preserve">Model with Sparsity (GAMS), and Gradient Boosting Machine (GBM) were</w:t>
      </w:r>
      <w:r>
        <w:t xml:space="preserve"> </w:t>
      </w:r>
      <w:r>
        <w:t xml:space="preserve">tested to potentially mitigate overfitting and enhance prediction</w:t>
      </w:r>
      <w:r>
        <w:t xml:space="preserve"> </w:t>
      </w:r>
      <w:r>
        <w:t xml:space="preserve">accuracy. Notably, the Gradient Boosting Machine model achieved the</w:t>
      </w:r>
      <w:r>
        <w:t xml:space="preserve"> </w:t>
      </w:r>
      <w:r>
        <w:t xml:space="preserve">lowest testing RMSE of 2.14, suggesting a model with better</w:t>
      </w:r>
      <w:r>
        <w:t xml:space="preserve"> </w:t>
      </w:r>
      <w:r>
        <w:t xml:space="preserve">generalizability compared to others.</w:t>
      </w:r>
    </w:p>
    <w:p>
      <w:pPr>
        <w:pStyle w:val="BodyText"/>
      </w:pPr>
      <w:r>
        <w:t xml:space="preserve">Given that the average MIR value is 1.6, an RMSE of over 2 suggests that the models are not accurately capturing the variability in the data and are making predictions that are significantly different from the observed values.</w:t>
      </w:r>
    </w:p>
    <w:p>
      <w:pPr>
        <w:pStyle w:val="BodyText"/>
      </w:pPr>
      <w:r>
        <w:t xml:space="preserve">Each model’s performance underlines the complex interplay of various</w:t>
      </w:r>
      <w:r>
        <w:t xml:space="preserve"> </w:t>
      </w:r>
      <w:r>
        <w:t xml:space="preserve">ecological and environmental factors in predicting EEE transmission</w:t>
      </w:r>
      <w:r>
        <w:t xml:space="preserve"> </w:t>
      </w:r>
      <w:r>
        <w:t xml:space="preserve">cycles.</w:t>
      </w:r>
    </w:p>
    <w:bookmarkStart w:id="57" w:name="strengths-and-limitations"/>
    <w:p>
      <w:pPr>
        <w:pStyle w:val="Heading2"/>
      </w:pPr>
      <w:r>
        <w:t xml:space="preserve">Strengths and Limitations</w:t>
      </w:r>
    </w:p>
    <w:p>
      <w:pPr>
        <w:pStyle w:val="FirstParagraph"/>
      </w:pPr>
      <w:r>
        <w:t xml:space="preserve">The accuracy and reliability of the mosquito collection data is</w:t>
      </w:r>
      <w:r>
        <w:t xml:space="preserve"> </w:t>
      </w:r>
      <w:r>
        <w:t xml:space="preserve">excellent. The same procedures and sentinel sites have were in place for</w:t>
      </w:r>
      <w:r>
        <w:t xml:space="preserve"> </w:t>
      </w:r>
      <w:r>
        <w:t xml:space="preserve">the entire analytical horizon. Further, there were only two people</w:t>
      </w:r>
      <w:r>
        <w:t xml:space="preserve"> </w:t>
      </w:r>
      <w:r>
        <w:t xml:space="preserve">responsible for sorting, identifying and counting species over the</w:t>
      </w:r>
      <w:r>
        <w:t xml:space="preserve"> </w:t>
      </w:r>
      <w:r>
        <w:t xml:space="preserve">entire period. However, the data is not without limitations. Mosquito</w:t>
      </w:r>
      <w:r>
        <w:t xml:space="preserve"> </w:t>
      </w:r>
      <w:r>
        <w:t xml:space="preserve">surveillance is inherently biased. Traps are set in locations that are</w:t>
      </w:r>
      <w:r>
        <w:t xml:space="preserve"> </w:t>
      </w:r>
      <w:r>
        <w:t xml:space="preserve">most likely to capture infected mosquitoes. While this is a positive for</w:t>
      </w:r>
      <w:r>
        <w:t xml:space="preserve"> </w:t>
      </w:r>
      <w:r>
        <w:t xml:space="preserve">early warning of virus activity, it is not necessarily representative of</w:t>
      </w:r>
      <w:r>
        <w:t xml:space="preserve"> </w:t>
      </w:r>
      <w:r>
        <w:t xml:space="preserve">the surrounding area. Probably the biggest limitation is the small</w:t>
      </w:r>
      <w:r>
        <w:t xml:space="preserve"> </w:t>
      </w:r>
      <w:r>
        <w:t xml:space="preserve">number of observations. The mosquito season is short in Massachusetts</w:t>
      </w:r>
      <w:r>
        <w:t xml:space="preserve"> </w:t>
      </w:r>
      <w:r>
        <w:t xml:space="preserve">and funding for trapping and testing mosquitoes is limited. Mosquito</w:t>
      </w:r>
      <w:r>
        <w:t xml:space="preserve"> </w:t>
      </w:r>
      <w:r>
        <w:t xml:space="preserve">control efforts, like pesticide applications, are missing from this</w:t>
      </w:r>
      <w:r>
        <w:t xml:space="preserve"> </w:t>
      </w:r>
      <w:r>
        <w:t xml:space="preserve">analysis. These efforts are designed to lower the levels of virus</w:t>
      </w:r>
      <w:r>
        <w:t xml:space="preserve"> </w:t>
      </w:r>
      <w:r>
        <w:t xml:space="preserve">transmitting mosquitoes and would likely provide more insight into the</w:t>
      </w:r>
      <w:r>
        <w:t xml:space="preserve"> </w:t>
      </w:r>
      <w:r>
        <w:t xml:space="preserve">relationship between the predictors and virus activity.</w:t>
      </w:r>
    </w:p>
    <w:p>
      <w:pPr>
        <w:pStyle w:val="BodyText"/>
      </w:pPr>
      <w:r>
        <w:t xml:space="preserve">MIR is not a perfect measure of virus activity in mosquitoes. It tends</w:t>
      </w:r>
      <w:r>
        <w:t xml:space="preserve"> </w:t>
      </w:r>
      <w:r>
        <w:t xml:space="preserve">to underestimate the level of virus circulating in the environment.</w:t>
      </w:r>
      <w:r>
        <w:t xml:space="preserve"> </w:t>
      </w:r>
      <w:r>
        <w:t xml:space="preserve">However, other measures require equal pool numbers for testing. There is</w:t>
      </w:r>
      <w:r>
        <w:t xml:space="preserve"> </w:t>
      </w:r>
      <w:r>
        <w:t xml:space="preserve">a correction factor for variable pool numbers and I will explore this</w:t>
      </w:r>
      <w:r>
        <w:t xml:space="preserve"> </w:t>
      </w:r>
      <w:r>
        <w:t xml:space="preserve">option in later phases of this project. Ideally, the outcome would be</w:t>
      </w:r>
      <w:r>
        <w:t xml:space="preserve"> </w:t>
      </w:r>
      <w:r>
        <w:t xml:space="preserve">human or animal cases. However, these cases are rare and modeling them</w:t>
      </w:r>
      <w:r>
        <w:t xml:space="preserve"> </w:t>
      </w:r>
      <w:r>
        <w:t xml:space="preserve">given the limited amount of surveillance data may not be possible.</w:t>
      </w:r>
    </w:p>
    <w:p>
      <w:pPr>
        <w:pStyle w:val="BodyText"/>
      </w:pPr>
      <w:r>
        <w:t xml:space="preserve">Initially, the lack of significance for most temperature and</w:t>
      </w:r>
      <w:r>
        <w:t xml:space="preserve"> </w:t>
      </w:r>
      <w:r>
        <w:t xml:space="preserve">precipitation variable was surprising. However, upon closer examination,</w:t>
      </w:r>
      <w:r>
        <w:t xml:space="preserve"> </w:t>
      </w:r>
      <w:r>
        <w:t xml:space="preserve">it makes sense. The main enzootic vector of EEE and the one targeted for</w:t>
      </w:r>
      <w:r>
        <w:t xml:space="preserve"> </w:t>
      </w:r>
      <w:r>
        <w:t xml:space="preserve">surveillance,</w:t>
      </w:r>
      <w:r>
        <w:t xml:space="preserve"> </w:t>
      </w:r>
      <w:r>
        <w:rPr>
          <w:iCs/>
          <w:i/>
        </w:rPr>
        <w:t xml:space="preserve">Culiseta melanura</w:t>
      </w:r>
      <w:r>
        <w:t xml:space="preserve">, develops in well insulated crypts</w:t>
      </w:r>
      <w:r>
        <w:t xml:space="preserve"> </w:t>
      </w:r>
      <w:r>
        <w:t xml:space="preserve">that are less sensitive to ambient air temperature changes. The effect</w:t>
      </w:r>
      <w:r>
        <w:t xml:space="preserve"> </w:t>
      </w:r>
      <w:r>
        <w:t xml:space="preserve">of temperature changes on MEL development speed may be less pronounced</w:t>
      </w:r>
      <w:r>
        <w:t xml:space="preserve"> </w:t>
      </w:r>
      <w:r>
        <w:t xml:space="preserve">than other vector species that develop in open, standing water, like</w:t>
      </w:r>
      <w:r>
        <w:t xml:space="preserve"> </w:t>
      </w:r>
      <w:r>
        <w:t xml:space="preserve">ditches and containers. Precipitation increases the amount of standing</w:t>
      </w:r>
      <w:r>
        <w:t xml:space="preserve"> </w:t>
      </w:r>
      <w:r>
        <w:t xml:space="preserve">water and increases the chances of larval survival during the mosquito</w:t>
      </w:r>
      <w:r>
        <w:t xml:space="preserve"> </w:t>
      </w:r>
      <w:r>
        <w:t xml:space="preserve">season and also during the winter months for those species that</w:t>
      </w:r>
      <w:r>
        <w:t xml:space="preserve"> </w:t>
      </w:r>
      <w:r>
        <w:t xml:space="preserve">overwinter in the larval stage. For EEE, the main enzootic vector, MEL,</w:t>
      </w:r>
      <w:r>
        <w:t xml:space="preserve"> </w:t>
      </w:r>
      <w:r>
        <w:t xml:space="preserve">overwinters as larvae.</w:t>
      </w:r>
    </w:p>
    <w:p>
      <w:pPr>
        <w:pStyle w:val="BodyText"/>
      </w:pPr>
      <w:r>
        <w:t xml:space="preserve">The spatial scale is an issue with the human and veterinary cases data.</w:t>
      </w:r>
      <w:r>
        <w:t xml:space="preserve"> </w:t>
      </w:r>
      <w:r>
        <w:t xml:space="preserve">Human case data is released only on a county scale to ensure patient</w:t>
      </w:r>
      <w:r>
        <w:t xml:space="preserve"> </w:t>
      </w:r>
      <w:r>
        <w:t xml:space="preserve">privacy. Some veterinary case data is available on the town-level, but</w:t>
      </w:r>
      <w:r>
        <w:t xml:space="preserve"> </w:t>
      </w:r>
      <w:r>
        <w:t xml:space="preserve">most remains only on the county-level. These limitations are barriers to</w:t>
      </w:r>
      <w:r>
        <w:t xml:space="preserve"> </w:t>
      </w:r>
      <w:r>
        <w:t xml:space="preserve">accurate spatial analysis. The project will rely on virus isolation in</w:t>
      </w:r>
      <w:r>
        <w:t xml:space="preserve"> </w:t>
      </w:r>
      <w:r>
        <w:t xml:space="preserve">mosquitoes to model risk. The available bird data relies heavily on</w:t>
      </w:r>
      <w:r>
        <w:t xml:space="preserve"> </w:t>
      </w:r>
      <w:r>
        <w:t xml:space="preserve">crowd-sourced reports. There is one standardized survey (Breeding Bird</w:t>
      </w:r>
      <w:r>
        <w:t xml:space="preserve"> </w:t>
      </w:r>
      <w:r>
        <w:t xml:space="preserve">Survey) that seems to be more accurate and reliable. However, this data</w:t>
      </w:r>
      <w:r>
        <w:t xml:space="preserve"> </w:t>
      </w:r>
      <w:r>
        <w:t xml:space="preserve">is not available for every year.</w:t>
      </w:r>
    </w:p>
    <w:bookmarkEnd w:id="57"/>
    <w:bookmarkStart w:id="58" w:name="conclusions"/>
    <w:p>
      <w:pPr>
        <w:pStyle w:val="Heading2"/>
      </w:pPr>
      <w:r>
        <w:t xml:space="preserve">Conclusions</w:t>
      </w:r>
    </w:p>
    <w:p>
      <w:pPr>
        <w:pStyle w:val="FirstParagraph"/>
      </w:pPr>
      <w:r>
        <w:t xml:space="preserve">While all models</w:t>
      </w:r>
      <w:r>
        <w:t xml:space="preserve"> </w:t>
      </w:r>
      <w:r>
        <w:t xml:space="preserve">demonstrated improvement over null model, none of them were robust</w:t>
      </w:r>
      <w:r>
        <w:t xml:space="preserve"> </w:t>
      </w:r>
      <w:r>
        <w:t xml:space="preserve">enough to be used for reliable prediction. In the next phases of this</w:t>
      </w:r>
      <w:r>
        <w:t xml:space="preserve"> </w:t>
      </w:r>
      <w:r>
        <w:t xml:space="preserve">project, the data will be expanded to include more years and cover a</w:t>
      </w:r>
      <w:r>
        <w:t xml:space="preserve"> </w:t>
      </w:r>
      <w:r>
        <w:t xml:space="preserve">larger portion of Massachusetts. In additon to increasing the the number</w:t>
      </w:r>
      <w:r>
        <w:t xml:space="preserve"> </w:t>
      </w:r>
      <w:r>
        <w:t xml:space="preserve">of observations, other sources of data will be incorporated. Including</w:t>
      </w:r>
      <w:r>
        <w:t xml:space="preserve"> </w:t>
      </w:r>
      <w:r>
        <w:t xml:space="preserve">virus activity from surrounding regions and incorporating bird population data in to the models could provide more insight into the relationship between the predictors and virus activity.</w:t>
      </w:r>
    </w:p>
    <w:bookmarkEnd w:id="58"/>
    <w:bookmarkEnd w:id="59"/>
    <w:bookmarkStart w:id="76" w:name="references"/>
    <w:p>
      <w:pPr>
        <w:pStyle w:val="Heading1"/>
      </w:pPr>
      <w:r>
        <w:t xml:space="preserve">References</w:t>
      </w:r>
    </w:p>
    <w:bookmarkStart w:id="75" w:name="refs"/>
    <w:bookmarkStart w:id="60" w:name="X3e35cf9db84b68314ce982815d17dacc1109f08"/>
    <w:p>
      <w:pPr>
        <w:pStyle w:val="Bibliography"/>
      </w:pPr>
      <w:r>
        <w:t xml:space="preserve">Centers for Disease Control and Prevention. 2022.</w:t>
      </w:r>
      <w:r>
        <w:t xml:space="preserve"> </w:t>
      </w:r>
      <w:r>
        <w:t xml:space="preserve">“Prevention</w:t>
      </w:r>
      <w:r>
        <w:t xml:space="preserve"> </w:t>
      </w:r>
      <w:r>
        <w:t xml:space="preserve"> </w:t>
      </w:r>
      <w:r>
        <w:t xml:space="preserve">Eastern Equine Encephalitis</w:t>
      </w:r>
      <w:r>
        <w:t xml:space="preserve"> </w:t>
      </w:r>
      <w:r>
        <w:t xml:space="preserve"> </w:t>
      </w:r>
      <w:r>
        <w:t xml:space="preserve">CDC</w:t>
      </w:r>
      <w:r>
        <w:t xml:space="preserve">.”</w:t>
      </w:r>
      <w:r>
        <w:t xml:space="preserve"> </w:t>
      </w:r>
      <w:r>
        <w:t xml:space="preserve">https://www.cdc.gov/easternequineencephalitis/prevention/index.html.</w:t>
      </w:r>
    </w:p>
    <w:bookmarkEnd w:id="60"/>
    <w:bookmarkStart w:id="61" w:name="X6b7876af4ac73be3d826fb24b2f643c9d02481e"/>
    <w:p>
      <w:pPr>
        <w:pStyle w:val="Bibliography"/>
      </w:pPr>
      <w:r>
        <w:t xml:space="preserve">Commonwealth of Massachusetts Division of Fisheries &amp; Wildlife. 2007.</w:t>
      </w:r>
      <w:r>
        <w:t xml:space="preserve"> </w:t>
      </w:r>
      <w:r>
        <w:t xml:space="preserve">“Natural</w:t>
      </w:r>
      <w:r>
        <w:t xml:space="preserve"> </w:t>
      </w:r>
      <w:r>
        <w:t xml:space="preserve">Community Fact Sheet</w:t>
      </w:r>
      <w:r>
        <w:t xml:space="preserve">:</w:t>
      </w:r>
      <w:r>
        <w:t xml:space="preserve"> </w:t>
      </w:r>
      <w:r>
        <w:t xml:space="preserve">ATLANTIC WHITE CEDAR SWAMPS</w:t>
      </w:r>
      <w:r>
        <w:t xml:space="preserve">.”</w:t>
      </w:r>
      <w:r>
        <w:t xml:space="preserve"> </w:t>
      </w:r>
      <w:r>
        <w:t xml:space="preserve">Westborough, MA.</w:t>
      </w:r>
    </w:p>
    <w:bookmarkEnd w:id="61"/>
    <w:bookmarkStart w:id="63" w:name="ref-guStatisticalEstimationDegree2006"/>
    <w:p>
      <w:pPr>
        <w:pStyle w:val="Bibliography"/>
      </w:pPr>
      <w:r>
        <w:t xml:space="preserve">Gu, Weidong, and Robert J. Novak. 2006.</w:t>
      </w:r>
      <w:r>
        <w:t xml:space="preserve"> </w:t>
      </w:r>
      <w:r>
        <w:t xml:space="preserve">“Statistical Estimation of Degree Days of Mosquito Development Under Fluctuating Temperatures in the Field.”</w:t>
      </w:r>
      <w:r>
        <w:t xml:space="preserve"> </w:t>
      </w:r>
      <w:r>
        <w:rPr>
          <w:iCs/>
          <w:i/>
        </w:rPr>
        <w:t xml:space="preserve">Journal of Vector Ecology</w:t>
      </w:r>
      <w:r>
        <w:t xml:space="preserve"> </w:t>
      </w:r>
      <w:r>
        <w:t xml:space="preserve">31 (1): 107–12.</w:t>
      </w:r>
      <w:r>
        <w:t xml:space="preserve"> </w:t>
      </w:r>
      <w:hyperlink r:id="rId62">
        <w:r>
          <w:rPr>
            <w:rStyle w:val="Hyperlink"/>
          </w:rPr>
          <w:t xml:space="preserve">https://doi.org/10.3376/1081-1710(2006)31[107:SEODDO]2.0.CO;2</w:t>
        </w:r>
      </w:hyperlink>
      <w:r>
        <w:t xml:space="preserve">.</w:t>
      </w:r>
    </w:p>
    <w:bookmarkEnd w:id="63"/>
    <w:bookmarkStart w:id="65" w:name="ref-hachiyaHumanEasternEquine2007"/>
    <w:p>
      <w:pPr>
        <w:pStyle w:val="Bibliography"/>
      </w:pPr>
      <w:r>
        <w:t xml:space="preserve">Hachiya, Masahiko, Matthew Osborne, Cynthia Stinson, and Barbara G. Werner. 2007.</w:t>
      </w:r>
      <w:r>
        <w:t xml:space="preserve"> </w:t>
      </w:r>
      <w:r>
        <w:t xml:space="preserve">“</w:t>
      </w:r>
      <w:hyperlink r:id="rId64">
        <w:r>
          <w:rPr>
            <w:rStyle w:val="Hyperlink"/>
          </w:rPr>
          <w:t xml:space="preserve">Human Eastern Equine Encephalitis in</w:t>
        </w:r>
        <w:r>
          <w:rPr>
            <w:rStyle w:val="Hyperlink"/>
          </w:rPr>
          <w:t xml:space="preserve"> </w:t>
        </w:r>
        <w:r>
          <w:rPr>
            <w:rStyle w:val="Hyperlink"/>
          </w:rPr>
          <w:t xml:space="preserve">Massachusetts</w:t>
        </w:r>
        <w:r>
          <w:rPr>
            <w:rStyle w:val="Hyperlink"/>
          </w:rPr>
          <w:t xml:space="preserve">: Predictive Indicators from Mosquitoes Collected at 10 Long-Term Trap Sites, 1979-2004</w:t>
        </w:r>
      </w:hyperlink>
      <w:r>
        <w:t xml:space="preserve">.”</w:t>
      </w:r>
      <w:r>
        <w:t xml:space="preserve"> </w:t>
      </w:r>
      <w:r>
        <w:rPr>
          <w:iCs/>
          <w:i/>
        </w:rPr>
        <w:t xml:space="preserve">Am J Trop Med Hyg</w:t>
      </w:r>
      <w:r>
        <w:t xml:space="preserve"> </w:t>
      </w:r>
      <w:r>
        <w:t xml:space="preserve">76 (2): 285–92.</w:t>
      </w:r>
    </w:p>
    <w:bookmarkEnd w:id="65"/>
    <w:bookmarkStart w:id="67" w:name="ref-lindseyEasternEquineEncephalitis2018"/>
    <w:p>
      <w:pPr>
        <w:pStyle w:val="Bibliography"/>
      </w:pPr>
      <w:r>
        <w:t xml:space="preserve">Lindsey, Nicole P, J Erin Staples, and Marc Fischer. 2018.</w:t>
      </w:r>
      <w:r>
        <w:t xml:space="preserve"> </w:t>
      </w:r>
      <w:r>
        <w:t xml:space="preserve">“Eastern</w:t>
      </w:r>
      <w:r>
        <w:t xml:space="preserve"> </w:t>
      </w:r>
      <w:r>
        <w:t xml:space="preserve">Equine Encephalitis Virus</w:t>
      </w:r>
      <w:r>
        <w:t xml:space="preserve"> </w:t>
      </w:r>
      <w:r>
        <w:t xml:space="preserve">in the</w:t>
      </w:r>
      <w:r>
        <w:t xml:space="preserve"> </w:t>
      </w:r>
      <w:r>
        <w:t xml:space="preserve">United States</w:t>
      </w:r>
      <w:r>
        <w:t xml:space="preserve">, 2003-2016.”</w:t>
      </w:r>
      <w:r>
        <w:t xml:space="preserve"> </w:t>
      </w:r>
      <w:r>
        <w:rPr>
          <w:iCs/>
          <w:i/>
        </w:rPr>
        <w:t xml:space="preserve">Am J Trop Med Hyg</w:t>
      </w:r>
      <w:r>
        <w:t xml:space="preserve"> </w:t>
      </w:r>
      <w:r>
        <w:t xml:space="preserve">98 (5): 1472–77.</w:t>
      </w:r>
      <w:r>
        <w:t xml:space="preserve"> </w:t>
      </w:r>
      <w:hyperlink r:id="rId66">
        <w:r>
          <w:rPr>
            <w:rStyle w:val="Hyperlink"/>
          </w:rPr>
          <w:t xml:space="preserve">https://doi.org/10.4269/ajtmh.17-0927</w:t>
        </w:r>
      </w:hyperlink>
      <w:r>
        <w:t xml:space="preserve">.</w:t>
      </w:r>
    </w:p>
    <w:bookmarkEnd w:id="67"/>
    <w:bookmarkStart w:id="68" w:name="X4d4785c794b55f5e102aa477c636a3f741ca350"/>
    <w:p>
      <w:pPr>
        <w:pStyle w:val="Bibliography"/>
      </w:pPr>
      <w:r>
        <w:t xml:space="preserve">Massachusetts Department of Public Health. 2024.</w:t>
      </w:r>
      <w:r>
        <w:t xml:space="preserve"> </w:t>
      </w:r>
      <w:r>
        <w:t xml:space="preserve">“Arbovirus</w:t>
      </w:r>
      <w:r>
        <w:t xml:space="preserve"> </w:t>
      </w:r>
      <w:r>
        <w:t xml:space="preserve">Surveillance Plan</w:t>
      </w:r>
      <w:r>
        <w:t xml:space="preserve"> </w:t>
      </w:r>
      <w:r>
        <w:t xml:space="preserve">and Historical Data</w:t>
      </w:r>
      <w:r>
        <w:t xml:space="preserve"> </w:t>
      </w:r>
      <w:r>
        <w:t xml:space="preserve"> </w:t>
      </w:r>
      <w:r>
        <w:t xml:space="preserve">Mass</w:t>
      </w:r>
      <w:r>
        <w:t xml:space="preserve">.gov.”</w:t>
      </w:r>
      <w:r>
        <w:t xml:space="preserve"> </w:t>
      </w:r>
      <w:r>
        <w:t xml:space="preserve">https://www.mass.gov/lists/arbovirus-surveillance-plan-and-historical-data.</w:t>
      </w:r>
    </w:p>
    <w:bookmarkEnd w:id="68"/>
    <w:bookmarkStart w:id="70" w:name="ref-morensEasternEquineEncephalitis2019"/>
    <w:p>
      <w:pPr>
        <w:pStyle w:val="Bibliography"/>
      </w:pPr>
      <w:r>
        <w:t xml:space="preserve">Morens, David M., Gregory K. Folkers, and Anthony S. Fauci. 2019.</w:t>
      </w:r>
      <w:r>
        <w:t xml:space="preserve"> </w:t>
      </w:r>
      <w:r>
        <w:t xml:space="preserve">“Eastern</w:t>
      </w:r>
      <w:r>
        <w:t xml:space="preserve"> </w:t>
      </w:r>
      <w:r>
        <w:t xml:space="preserve">Equine Encephalitis Virus</w:t>
      </w:r>
      <w:r>
        <w:t xml:space="preserve"> </w:t>
      </w:r>
      <w:r>
        <w:t xml:space="preserve">—</w:t>
      </w:r>
      <w:r>
        <w:t xml:space="preserve"> </w:t>
      </w:r>
      <w:r>
        <w:t xml:space="preserve">Another Emergent Arbovirus</w:t>
      </w:r>
      <w:r>
        <w:t xml:space="preserve"> </w:t>
      </w:r>
      <w:r>
        <w:t xml:space="preserve">in the</w:t>
      </w:r>
      <w:r>
        <w:t xml:space="preserve"> </w:t>
      </w:r>
      <w:r>
        <w:t xml:space="preserve">United States</w:t>
      </w:r>
      <w:r>
        <w:t xml:space="preserve">.”</w:t>
      </w:r>
      <w:r>
        <w:t xml:space="preserve"> </w:t>
      </w:r>
      <w:r>
        <w:rPr>
          <w:iCs/>
          <w:i/>
        </w:rPr>
        <w:t xml:space="preserve">N Engl J Med</w:t>
      </w:r>
      <w:r>
        <w:t xml:space="preserve"> </w:t>
      </w:r>
      <w:r>
        <w:t xml:space="preserve">381 (21): 1989–92.</w:t>
      </w:r>
      <w:r>
        <w:t xml:space="preserve"> </w:t>
      </w:r>
      <w:hyperlink r:id="rId69">
        <w:r>
          <w:rPr>
            <w:rStyle w:val="Hyperlink"/>
          </w:rPr>
          <w:t xml:space="preserve">https://doi.org/10.1056/NEJMp1914328</w:t>
        </w:r>
      </w:hyperlink>
      <w:r>
        <w:t xml:space="preserve">.</w:t>
      </w:r>
    </w:p>
    <w:bookmarkEnd w:id="70"/>
    <w:bookmarkStart w:id="72" w:name="ref-paullDroughtImmunityDetermine2017"/>
    <w:p>
      <w:pPr>
        <w:pStyle w:val="Bibliography"/>
      </w:pPr>
      <w:r>
        <w:t xml:space="preserve">Paull, Sara H., Daniel E. Horton, Moetasim Ashfaq, Deeksha Rastogi, Laura D. Kramer, Noah S. Diffenbaugh, and A. Marm Kilpatrick. 2017.</w:t>
      </w:r>
      <w:r>
        <w:t xml:space="preserve"> </w:t>
      </w:r>
      <w:r>
        <w:t xml:space="preserve">“Drought and Immunity Determine the Intensity of</w:t>
      </w:r>
      <w:r>
        <w:t xml:space="preserve"> </w:t>
      </w:r>
      <w:r>
        <w:t xml:space="preserve">West Nile</w:t>
      </w:r>
      <w:r>
        <w:t xml:space="preserve"> </w:t>
      </w:r>
      <w:r>
        <w:t xml:space="preserve">Virus Epidemics and Climate Change Impacts.”</w:t>
      </w:r>
      <w:r>
        <w:t xml:space="preserve"> </w:t>
      </w:r>
      <w:r>
        <w:rPr>
          <w:iCs/>
          <w:i/>
        </w:rPr>
        <w:t xml:space="preserve">Proc. R. Soc. B.</w:t>
      </w:r>
      <w:r>
        <w:t xml:space="preserve"> </w:t>
      </w:r>
      <w:r>
        <w:t xml:space="preserve">284 (1848): 20162078.</w:t>
      </w:r>
      <w:r>
        <w:t xml:space="preserve"> </w:t>
      </w:r>
      <w:hyperlink r:id="rId71">
        <w:r>
          <w:rPr>
            <w:rStyle w:val="Hyperlink"/>
          </w:rPr>
          <w:t xml:space="preserve">https://doi.org/10.1098/rspb.2016.2078</w:t>
        </w:r>
      </w:hyperlink>
      <w:r>
        <w:t xml:space="preserve">.</w:t>
      </w:r>
    </w:p>
    <w:bookmarkEnd w:id="72"/>
    <w:bookmarkStart w:id="74" w:name="ref-vanderkelenRiskIndexModel2014"/>
    <w:p>
      <w:pPr>
        <w:pStyle w:val="Bibliography"/>
      </w:pPr>
      <w:r>
        <w:t xml:space="preserve">Vander Kelen, Patrick, Joni A Downs, Thomas Unnasch, and Lillian Stark. 2014.</w:t>
      </w:r>
      <w:r>
        <w:t xml:space="preserve"> </w:t>
      </w:r>
      <w:r>
        <w:t xml:space="preserve">“A Risk Index Model for Predicting Eastern Equine Encephalitis Virus Transmission to Horses in</w:t>
      </w:r>
      <w:r>
        <w:t xml:space="preserve"> </w:t>
      </w:r>
      <w:r>
        <w:t xml:space="preserve">Florida</w:t>
      </w:r>
      <w:r>
        <w:t xml:space="preserve">.”</w:t>
      </w:r>
      <w:r>
        <w:t xml:space="preserve"> </w:t>
      </w:r>
      <w:r>
        <w:rPr>
          <w:iCs/>
          <w:i/>
        </w:rPr>
        <w:t xml:space="preserve">Appl Geogr</w:t>
      </w:r>
      <w:r>
        <w:t xml:space="preserve"> </w:t>
      </w:r>
      <w:r>
        <w:t xml:space="preserve">48 (March): 79–86.</w:t>
      </w:r>
      <w:r>
        <w:t xml:space="preserve"> </w:t>
      </w:r>
      <w:hyperlink r:id="rId73">
        <w:r>
          <w:rPr>
            <w:rStyle w:val="Hyperlink"/>
          </w:rPr>
          <w:t xml:space="preserve">https://doi.org/10.1016/j.apgeog.2014.01.012</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hyperlink" Id="rId73" Target="https://doi.org/10.1016/j.apgeog.2014.01.012" TargetMode="External" /><Relationship Type="http://schemas.openxmlformats.org/officeDocument/2006/relationships/hyperlink" Id="rId69" Target="https://doi.org/10.1056/NEJMp1914328" TargetMode="External" /><Relationship Type="http://schemas.openxmlformats.org/officeDocument/2006/relationships/hyperlink" Id="rId71" Target="https://doi.org/10.1098/rspb.2016.2078" TargetMode="External" /><Relationship Type="http://schemas.openxmlformats.org/officeDocument/2006/relationships/hyperlink" Id="rId62" Target="https://doi.org/10.3376/1081-1710(2006)31[107:SEODDO]2.0.CO;2" TargetMode="External" /><Relationship Type="http://schemas.openxmlformats.org/officeDocument/2006/relationships/hyperlink" Id="rId66" Target="https://doi.org/10.4269/ajtmh.17-0927" TargetMode="External" /><Relationship Type="http://schemas.openxmlformats.org/officeDocument/2006/relationships/hyperlink" Id="rId64" Target="https://www.ncbi.nlm.nih.gov/pubmed/17297037"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apgeog.2014.01.012" TargetMode="External" /><Relationship Type="http://schemas.openxmlformats.org/officeDocument/2006/relationships/hyperlink" Id="rId69" Target="https://doi.org/10.1056/NEJMp1914328" TargetMode="External" /><Relationship Type="http://schemas.openxmlformats.org/officeDocument/2006/relationships/hyperlink" Id="rId71" Target="https://doi.org/10.1098/rspb.2016.2078" TargetMode="External" /><Relationship Type="http://schemas.openxmlformats.org/officeDocument/2006/relationships/hyperlink" Id="rId62" Target="https://doi.org/10.3376/1081-1710(2006)31[107:SEODDO]2.0.CO;2" TargetMode="External" /><Relationship Type="http://schemas.openxmlformats.org/officeDocument/2006/relationships/hyperlink" Id="rId66" Target="https://doi.org/10.4269/ajtmh.17-0927" TargetMode="External" /><Relationship Type="http://schemas.openxmlformats.org/officeDocument/2006/relationships/hyperlink" Id="rId64" Target="https://www.ncbi.nlm.nih.gov/pubmed/1729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Abundance &amp; Virus Isolation in Mosquitoes</dc:title>
  <dc:creator>Andrew Ruiz</dc:creator>
  <cp:keywords/>
  <dcterms:created xsi:type="dcterms:W3CDTF">2024-05-03T12:24:50Z</dcterms:created>
  <dcterms:modified xsi:type="dcterms:W3CDTF">2024-05-03T12:24:50Z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2024-05-03</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d_number">
    <vt:lpwstr>True</vt:lpwstr>
  </property>
  <property fmtid="{D5CDD505-2E9C-101B-9397-08002B2CF9AE}" pid="13" name="reference_docx">
    <vt:lpwstr>path/to/your/reference/docx/file.docx</vt:lpwstr>
  </property>
  <property fmtid="{D5CDD505-2E9C-101B-9397-08002B2CF9AE}" pid="14" name="subtitle">
    <vt:lpwstr>Which environmental, ecological, and temporal factors impact mosquito populations</vt:lpwstr>
  </property>
  <property fmtid="{D5CDD505-2E9C-101B-9397-08002B2CF9AE}" pid="15" name="toc-title">
    <vt:lpwstr>Table of contents</vt:lpwstr>
  </property>
</Properties>
</file>