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1.0 — Closed Tension Field Model</w:t>
      </w:r>
    </w:p>
    <w:p>
      <w:pPr>
        <w:pStyle w:val="Heading1"/>
      </w:pPr>
      <w:r>
        <w:t>Closed Tension Field</w:t>
      </w:r>
    </w:p>
    <w:p>
      <w:r>
        <w:t>SAC 1.0 defines aesthetic cognition as a closed symbolic tension field.</w:t>
        <w:br/>
        <w:t>The model assumes that tension arises entirely from structural relationships between symbolic elements.</w:t>
      </w:r>
    </w:p>
    <w:p>
      <w:r>
        <w:t>Core equation:</w:t>
      </w:r>
    </w:p>
    <w:p>
      <w:r>
        <w:t>τ = τ_struct</w:t>
      </w:r>
    </w:p>
    <w:p>
      <w:r>
        <w:t>Where τ represents total tension and τ_struct represents structural tension.</w:t>
      </w:r>
    </w:p>
    <w:p>
      <w:pPr>
        <w:pStyle w:val="Heading1"/>
      </w:pPr>
      <w:r>
        <w:t>Attractors</w:t>
      </w:r>
    </w:p>
    <w:p>
      <w:r>
        <w:t>Symbolic systems evolve toward stable tension configurations known as attractors.</w:t>
      </w:r>
    </w:p>
    <w:p>
      <w:r>
        <w:t>Λ(t)</w:t>
      </w:r>
    </w:p>
    <w:p>
      <w:r>
        <w:t>An attractor represents a stable configuration where symbolic tension becomes locally minimized.</w:t>
      </w:r>
    </w:p>
    <w:p>
      <w:pPr>
        <w:pStyle w:val="Heading1"/>
      </w:pPr>
      <w:r>
        <w:t>System Evolution</w:t>
      </w:r>
    </w:p>
    <w:p>
      <w:r>
        <w:t>System evolution follows a tension‑minimizing trajectory.</w:t>
      </w:r>
    </w:p>
    <w:p>
      <w:r>
        <w:t>argmin τ</w:t>
      </w:r>
    </w:p>
    <w:p>
      <w:r>
        <w:t>This does not eliminate tension entirely but seeks stable configurations within the symbolic field.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