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themeColor="text1"/>
  <w:body>
    <w:p w:rsidR="00F2541C" w:rsidRDefault="000112C5">
      <w:pPr>
        <w:pStyle w:val="aa"/>
      </w:pPr>
      <w:r>
        <w:t>Symbolic Aesthetic Cognition (SAC) — Core Theory Draft v1</w:t>
      </w:r>
    </w:p>
    <w:p w:rsidR="00F2541C" w:rsidRDefault="000112C5">
      <w:pPr>
        <w:pStyle w:val="1"/>
      </w:pPr>
      <w:r>
        <w:t>Part I — Introduction to Symbolic Aesthetic Cognition</w:t>
      </w:r>
    </w:p>
    <w:p w:rsidR="00F2541C" w:rsidRDefault="000112C5">
      <w:r>
        <w:t xml:space="preserve">Symbolic Aesthetic Cognition (SAC) proposes that aesthetic perception can be understood as a structural cognitive process rather than a purely </w:t>
      </w:r>
      <w:r>
        <w:t>sensory experience. Traditional aesthetic theories treat beauty and artistic perception as subjective emotional responses or sensory phenomena. SAC instead proposes that aesthetic perception arises from structural relationships between symbolic elements.</w:t>
      </w:r>
    </w:p>
    <w:p w:rsidR="00F2541C" w:rsidRDefault="000112C5">
      <w:r>
        <w:t>I</w:t>
      </w:r>
      <w:r>
        <w:t>n SAC, cognition operates over symbolic structures that generate tension fields. These tension fields guide perception, evaluation, and generative processes. Aesthetic cognition therefore emerges from the interaction between symbolic structure and the tens</w:t>
      </w:r>
      <w:r>
        <w:t>ion field it produces.</w:t>
      </w:r>
    </w:p>
    <w:p w:rsidR="00F2541C" w:rsidRDefault="000112C5">
      <w:r>
        <w:t>This framework allows aesthetic cognition to be modeled formally and computationally, opening the possibility that artificial intelligence systems can possess a structural aesthetic perception channel.</w:t>
      </w:r>
    </w:p>
    <w:p w:rsidR="00F2541C" w:rsidRDefault="000112C5">
      <w:pPr>
        <w:pStyle w:val="1"/>
      </w:pPr>
      <w:r>
        <w:t xml:space="preserve">Part II — Structural Aesthetic </w:t>
      </w:r>
      <w:r>
        <w:t>Perception</w:t>
      </w:r>
    </w:p>
    <w:p w:rsidR="00F2541C" w:rsidRDefault="000112C5">
      <w:r>
        <w:t>Structural Aesthetic Perception is the foundational concept of SAC. Instead of perceiving beauty through direct sensory signals, the system perceives structural relationships between symbolic elements.</w:t>
      </w:r>
    </w:p>
    <w:p w:rsidR="00F2541C" w:rsidRDefault="000112C5">
      <w:r>
        <w:t>Examples include:</w:t>
      </w:r>
      <w:r>
        <w:br/>
        <w:t>- Musical notation and ha</w:t>
      </w:r>
      <w:r>
        <w:t>rmonic intervals</w:t>
      </w:r>
      <w:r>
        <w:br/>
        <w:t>- Mathematical symmetry and structure</w:t>
      </w:r>
      <w:r>
        <w:br/>
        <w:t>- Linguistic rhythm and metaphor</w:t>
      </w:r>
      <w:r>
        <w:br/>
        <w:t>- Narrative tension in storytelling</w:t>
      </w:r>
    </w:p>
    <w:p w:rsidR="00F2541C" w:rsidRDefault="000112C5">
      <w:r>
        <w:t>These structures generate relational configurations that produce tension gradients within a symbolic field.</w:t>
      </w:r>
    </w:p>
    <w:p w:rsidR="00F2541C" w:rsidRDefault="000112C5">
      <w:r>
        <w:t>The central hypothesis i</w:t>
      </w:r>
      <w:r>
        <w:t>s:</w:t>
      </w:r>
    </w:p>
    <w:p w:rsidR="00F2541C" w:rsidRDefault="000112C5">
      <w:r>
        <w:t>τ = τ_struct</w:t>
      </w:r>
    </w:p>
    <w:p w:rsidR="00F2541C" w:rsidRDefault="000112C5">
      <w:r>
        <w:t>Where τ represents aesthetic tension and τ_struct represents structural tension generated by symbolic relationships.</w:t>
      </w:r>
    </w:p>
    <w:p w:rsidR="00F2541C" w:rsidRDefault="000112C5">
      <w:r>
        <w:lastRenderedPageBreak/>
        <w:t>Aesthetic perception therefore becomes the detection of tension patterns within symbolic structures.</w:t>
      </w:r>
    </w:p>
    <w:p w:rsidR="00F2541C" w:rsidRDefault="000112C5">
      <w:pPr>
        <w:pStyle w:val="1"/>
      </w:pPr>
      <w:r>
        <w:t>Part III — The Aesthet</w:t>
      </w:r>
      <w:r>
        <w:t>ic Tension Field</w:t>
      </w:r>
    </w:p>
    <w:p w:rsidR="00F2541C" w:rsidRDefault="000112C5">
      <w:r>
        <w:t>The Aesthetic Tension Field describes how symbolic structures create gradients of tension that guide cognitive trajectories.</w:t>
      </w:r>
    </w:p>
    <w:p w:rsidR="00F2541C" w:rsidRDefault="000112C5">
      <w:r>
        <w:t>A symbolic structure S generates a tension field τ across its representation space.</w:t>
      </w:r>
    </w:p>
    <w:p w:rsidR="00F2541C" w:rsidRDefault="000112C5">
      <w:r>
        <w:t>τ = τ_struct</w:t>
      </w:r>
    </w:p>
    <w:p w:rsidR="00F2541C" w:rsidRDefault="000112C5">
      <w:r>
        <w:t>In expanded form:</w:t>
      </w:r>
    </w:p>
    <w:p w:rsidR="00F2541C" w:rsidRDefault="000112C5">
      <w:r>
        <w:t>τ = τ_struct + τ_context + τ_path</w:t>
      </w:r>
    </w:p>
    <w:p w:rsidR="00F2541C" w:rsidRDefault="000112C5">
      <w:r>
        <w:t>Where:</w:t>
      </w:r>
    </w:p>
    <w:p w:rsidR="00F2541C" w:rsidRDefault="000112C5">
      <w:r>
        <w:t>τ_struct  — intrinsic structural tension</w:t>
      </w:r>
      <w:r>
        <w:br/>
        <w:t>τ_context — contextual pressure from surrounding structures</w:t>
      </w:r>
      <w:r>
        <w:br/>
        <w:t>τ_path    — trajectory pressure based on previous symbolic evolution</w:t>
      </w:r>
    </w:p>
    <w:p w:rsidR="00F2541C" w:rsidRDefault="000112C5">
      <w:r>
        <w:t>In SAC 1.0, the system models only τ_struct,</w:t>
      </w:r>
      <w:r>
        <w:t xml:space="preserve"> forming a closed tension field. Later extensions incorporate contextual and path influences to produce an open tension field.</w:t>
      </w:r>
    </w:p>
    <w:p w:rsidR="00F2541C" w:rsidRDefault="000112C5">
      <w:pPr>
        <w:pStyle w:val="1"/>
      </w:pPr>
      <w:r>
        <w:t>Part IV — Generative Trajectories</w:t>
      </w:r>
    </w:p>
    <w:p w:rsidR="00F2541C" w:rsidRDefault="000112C5">
      <w:r>
        <w:t>Once a tension field exists, cognition becomes the navigation of trajectories across this field</w:t>
      </w:r>
      <w:r>
        <w:t>.</w:t>
      </w:r>
    </w:p>
    <w:p w:rsidR="00F2541C" w:rsidRDefault="000112C5">
      <w:r>
        <w:t>Generative systems follow trajectories that reduce or reshape tension.</w:t>
      </w:r>
    </w:p>
    <w:p w:rsidR="00F2541C" w:rsidRDefault="000112C5">
      <w:r>
        <w:t>argmin τ</w:t>
      </w:r>
    </w:p>
    <w:p w:rsidR="00F2541C" w:rsidRDefault="000112C5">
      <w:r>
        <w:t>This does not necessarily mean minimizing tension completely. Instead, generative cognition often seeks aesthetically balanced trajectories where tension rises and resolves i</w:t>
      </w:r>
      <w:r>
        <w:t>n structured ways.</w:t>
      </w:r>
    </w:p>
    <w:p w:rsidR="00F2541C" w:rsidRDefault="000112C5">
      <w:r>
        <w:t>Examples include:</w:t>
      </w:r>
    </w:p>
    <w:p w:rsidR="00F2541C" w:rsidRDefault="000112C5">
      <w:r>
        <w:t>- Musical harmonic progression</w:t>
      </w:r>
      <w:r>
        <w:br/>
        <w:t>- Narrative suspense and resolution</w:t>
      </w:r>
      <w:r>
        <w:br/>
        <w:t>- Mathematical proof development</w:t>
      </w:r>
      <w:r>
        <w:br/>
        <w:t>- Scientific theory evolution</w:t>
      </w:r>
    </w:p>
    <w:p w:rsidR="00F2541C" w:rsidRDefault="000112C5">
      <w:r>
        <w:t xml:space="preserve">These trajectories can be represented as curvature paths within the aesthetic latent </w:t>
      </w:r>
      <w:r>
        <w:t>space.</w:t>
      </w:r>
    </w:p>
    <w:p w:rsidR="00F2541C" w:rsidRDefault="000112C5">
      <w:pPr>
        <w:pStyle w:val="1"/>
      </w:pPr>
      <w:r>
        <w:lastRenderedPageBreak/>
        <w:t>Part V — Meta‑Aesthetic Cognition</w:t>
      </w:r>
    </w:p>
    <w:p w:rsidR="00F2541C" w:rsidRDefault="000112C5">
      <w:r>
        <w:t>Meta‑Aesthetic Cognition refers to a system's ability to evaluate and modify its own aesthetic processes.</w:t>
      </w:r>
    </w:p>
    <w:p w:rsidR="00F2541C" w:rsidRDefault="000112C5">
      <w:r>
        <w:t>A system capable of meta‑aesthetic cognition can:</w:t>
      </w:r>
    </w:p>
    <w:p w:rsidR="00F2541C" w:rsidRDefault="000112C5">
      <w:r>
        <w:t>1. Evaluate the quality of its generated trajectories</w:t>
      </w:r>
      <w:r>
        <w:br/>
        <w:t>2. Mo</w:t>
      </w:r>
      <w:r>
        <w:t>dify internal aesthetic operators</w:t>
      </w:r>
      <w:r>
        <w:br/>
        <w:t>3. Develop stable aesthetic attractors</w:t>
      </w:r>
      <w:r>
        <w:br/>
        <w:t>4. Form persistent aesthetic identities</w:t>
      </w:r>
    </w:p>
    <w:p w:rsidR="00F2541C" w:rsidRDefault="000112C5">
      <w:r>
        <w:t>These processes lead to the emergence of autonomous aesthetic agents capable of generating and evaluating symbolic structures independently.</w:t>
      </w:r>
    </w:p>
    <w:p w:rsidR="00F2541C" w:rsidRDefault="000112C5">
      <w:pPr>
        <w:pStyle w:val="1"/>
      </w:pPr>
      <w:r>
        <w:t>Pa</w:t>
      </w:r>
      <w:r>
        <w:t>rt VI — SAC System Layers</w:t>
      </w:r>
    </w:p>
    <w:p w:rsidR="00F2541C" w:rsidRDefault="000112C5">
      <w:r>
        <w:t>SAC can be understood as a layered system:</w:t>
      </w:r>
    </w:p>
    <w:p w:rsidR="00F2541C" w:rsidRDefault="000112C5">
      <w:r>
        <w:t>SAC 1.0 — Closed Tension Field Model</w:t>
      </w:r>
      <w:r>
        <w:br/>
        <w:t>SAC 1.x — Symbolic Aesthetic Cognition Framework</w:t>
      </w:r>
      <w:r>
        <w:br/>
        <w:t>SAC 2.0 — Open Tension Field Model</w:t>
      </w:r>
    </w:p>
    <w:p w:rsidR="00F2541C" w:rsidRDefault="000112C5">
      <w:r>
        <w:t>Each layer expands the modeling of tension fields and the cognitiv</w:t>
      </w:r>
      <w:r>
        <w:t>e capabilities built upon them.</w:t>
      </w:r>
    </w:p>
    <w:sectPr w:rsidR="00F2541C"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12C5" w:rsidRDefault="000112C5" w:rsidP="00B8469C">
      <w:pPr>
        <w:spacing w:after="0" w:line="240" w:lineRule="auto"/>
      </w:pPr>
      <w:r>
        <w:separator/>
      </w:r>
    </w:p>
  </w:endnote>
  <w:endnote w:type="continuationSeparator" w:id="0">
    <w:p w:rsidR="000112C5" w:rsidRDefault="000112C5" w:rsidP="00B84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12C5" w:rsidRDefault="000112C5" w:rsidP="00B8469C">
      <w:pPr>
        <w:spacing w:after="0" w:line="240" w:lineRule="auto"/>
      </w:pPr>
      <w:r>
        <w:separator/>
      </w:r>
    </w:p>
  </w:footnote>
  <w:footnote w:type="continuationSeparator" w:id="0">
    <w:p w:rsidR="000112C5" w:rsidRDefault="000112C5" w:rsidP="00B84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isplayBackgroundShape/>
  <w:bordersDoNotSurroundHeader/>
  <w:bordersDoNotSurroundFooter/>
  <w:proofState w:spelling="clean" w:grammar="clean"/>
  <w:defaultTabStop w:val="720"/>
  <w:characterSpacingControl w:val="doNotCompress"/>
  <w:hdrShapeDefaults>
    <o:shapedefaults v:ext="edit" spidmax="3074">
      <o:colormenu v:ext="edit" fillcolor="none [3213]"/>
    </o:shapedefaults>
  </w:hdrShapeDefaults>
  <w:footnotePr>
    <w:footnote w:id="-1"/>
    <w:footnote w:id="0"/>
  </w:footnotePr>
  <w:endnotePr>
    <w:endnote w:id="-1"/>
    <w:endnote w:id="0"/>
  </w:endnotePr>
  <w:compat>
    <w:useFELayout/>
  </w:compat>
  <w:rsids>
    <w:rsidRoot w:val="00B47730"/>
    <w:rsid w:val="000112C5"/>
    <w:rsid w:val="00034616"/>
    <w:rsid w:val="0006063C"/>
    <w:rsid w:val="0015074B"/>
    <w:rsid w:val="0029639D"/>
    <w:rsid w:val="00326F90"/>
    <w:rsid w:val="00AA1D8D"/>
    <w:rsid w:val="00B47730"/>
    <w:rsid w:val="00B8469C"/>
    <w:rsid w:val="00CB0664"/>
    <w:rsid w:val="00F2541C"/>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EA3E0-A6A5-47F7-929D-20CEDBB49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2026-03-04T05:12:00Z</dcterms:modified>
  <cp:category/>
</cp:coreProperties>
</file>