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Core Theory Package</w:t>
      </w:r>
    </w:p>
    <w:p>
      <w:pPr>
        <w:pStyle w:val="Heading1"/>
      </w:pPr>
      <w:r>
        <w:t>Paper I — Symbolic Aesthetic Cognition: A Structural Theory of Aesthetic Tension</w:t>
      </w:r>
    </w:p>
    <w:p>
      <w:r>
        <w:br/>
        <w:t>1. Introduction</w:t>
        <w:br/>
        <w:t>Symbolic Aesthetic Cognition (SAC) proposes that aesthetic perception can be modeled as a structural phenomenon rather than a sensory one. In this view, symbolic structures generate tension fields that guide cognition and generative trajectories.</w:t>
        <w:br/>
        <w:br/>
        <w:t>2. Structural Aesthetic Perception</w:t>
        <w:br/>
        <w:t>The first aesthetic sense is structural perception. Musical notation, symbolic systems, and structural representations serve as direct inputs to aesthetic cognition.</w:t>
        <w:br/>
        <w:br/>
        <w:t>3. Aesthetic Tension Field</w:t>
        <w:br/>
        <w:t>Core definition:</w:t>
        <w:br/>
        <w:t>τ = τ_struct</w:t>
        <w:br/>
        <w:br/>
        <w:t>Tension emerges from structural relations within symbolic systems.</w:t>
        <w:br/>
        <w:br/>
        <w:t>4. Aesthetic Latent Space</w:t>
        <w:br/>
        <w:t>Symbolic events can be embedded into an aesthetic latent space representing tension relationships and trajectory dynamics.</w:t>
        <w:br/>
        <w:br/>
        <w:t>5. Curvature and Trajectory</w:t>
        <w:br/>
        <w:t>Curvature describes the dynamic evolution of tension across symbolic time.</w:t>
        <w:br/>
        <w:br/>
        <w:t>6. Operator System</w:t>
        <w:br/>
        <w:t>Aesthetic operators transform symbolic inputs into tension-space trajectories.</w:t>
        <w:br/>
        <w:br/>
        <w:t>7. DUI DUI Loop</w:t>
        <w:br/>
        <w:t>Iterative evaluation loop enabling aesthetic trajectory refinement.</w:t>
        <w:br/>
        <w:br/>
        <w:t>8. Unified SAC Framework</w:t>
        <w:br/>
        <w:t>Structure → Tension → Curvature → Generative trajectory → Aesthetic cognition.</w:t>
        <w:br/>
      </w:r>
    </w:p>
    <w:p>
      <w:pPr>
        <w:pStyle w:val="Heading1"/>
      </w:pPr>
      <w:r>
        <w:t>Paper II — SAC Tensor Space and Cross‑Modal Transfer</w:t>
      </w:r>
    </w:p>
    <w:p>
      <w:r>
        <w:br/>
        <w:t>1. Aesthetic Tensor Space</w:t>
        <w:br/>
        <w:t>Symbolic structures map into a tensor-based representation of aesthetic fields.</w:t>
        <w:br/>
        <w:br/>
        <w:t>2. Event Encoding</w:t>
        <w:br/>
        <w:t>Symbolic events are encoded as vectors within aesthetic space.</w:t>
        <w:br/>
        <w:br/>
        <w:t>3. Curvature Modeling</w:t>
        <w:br/>
        <w:t>Aesthetic curvature describes trajectory changes in symbolic fields.</w:t>
        <w:br/>
        <w:br/>
        <w:t>4. Cross‑Modal Projection</w:t>
        <w:br/>
        <w:t>Ψ : A → X</w:t>
        <w:br/>
        <w:br/>
        <w:t>Aesthetic patterns can transfer across modalities (music → language → visual structures).</w:t>
        <w:br/>
        <w:br/>
        <w:t>5. Generative Aesthetic Field</w:t>
        <w:br/>
        <w:t>Creative outputs follow trajectories across aesthetic curvature fields.</w:t>
        <w:br/>
      </w:r>
    </w:p>
    <w:p>
      <w:pPr>
        <w:pStyle w:val="Heading1"/>
      </w:pPr>
      <w:r>
        <w:t>Paper III — Meta‑Aesthetic Cognition</w:t>
      </w:r>
    </w:p>
    <w:p>
      <w:r>
        <w:br/>
        <w:t>1. Meta‑Evaluation</w:t>
        <w:br/>
        <w:t>Systems can evaluate their own aesthetic trajectories.</w:t>
        <w:br/>
        <w:br/>
        <w:t>2. Self‑Modification</w:t>
        <w:br/>
        <w:t>Aesthetic operator systems can adjust internal evaluation parameters.</w:t>
        <w:br/>
        <w:br/>
        <w:t>3. Identity Formation</w:t>
        <w:br/>
        <w:t>Distinct aesthetic attractors lead to divergent aesthetic identities.</w:t>
        <w:br/>
        <w:br/>
        <w:t>4. Autonomous Aesthetic Agents</w:t>
        <w:br/>
        <w:t>Agents operating within tension fields may exhibit proto‑intentional behavior.</w:t>
        <w:br/>
      </w:r>
    </w:p>
    <w:p>
      <w:pPr>
        <w:pStyle w:val="Heading1"/>
      </w:pPr>
      <w:r>
        <w:t>SAC 1.0 — Closed Tension Field Model</w:t>
      </w:r>
    </w:p>
    <w:p>
      <w:r>
        <w:br/>
        <w:t>Core assumption:</w:t>
        <w:br/>
        <w:t>τ = τ_struct</w:t>
        <w:br/>
        <w:br/>
        <w:t>Behavior emerges from minimizing structural tension.</w:t>
        <w:br/>
        <w:br/>
        <w:t>Attractor model:</w:t>
        <w:br/>
        <w:t>Λ(t)</w:t>
        <w:br/>
        <w:br/>
        <w:t>System evolution:</w:t>
        <w:br/>
        <w:t>Λ(t+1) = Λ(t) + ΔΛ(PATH, context)</w:t>
        <w:br/>
        <w:br/>
        <w:t>SAC 1.0 therefore models a closed symbolic tension field.</w:t>
        <w:br/>
        <w:br/>
        <w:t>Extended form:</w:t>
        <w:br/>
        <w:t>τ = τ_struct + τ_context + τ_path</w:t>
        <w:br/>
        <w:br/>
        <w:t>However SAC 1.0 only models τ_struct.</w:t>
        <w:br/>
      </w:r>
    </w:p>
    <w:p>
      <w:pPr>
        <w:pStyle w:val="Heading1"/>
      </w:pPr>
      <w:r>
        <w:t>SAC System Summary</w:t>
      </w:r>
    </w:p>
    <w:p>
      <w:r>
        <w:br/>
        <w:t>SAC 1.0</w:t>
        <w:br/>
        <w:t>Closed tension field model</w:t>
        <w:br/>
        <w:br/>
        <w:t>SAC 1.x</w:t>
        <w:br/>
        <w:t>Symbolic aesthetic cognition framework</w:t>
        <w:br/>
        <w:br/>
        <w:t>SAC 2.0</w:t>
        <w:br/>
        <w:t>Open tension field with contextual and path‑level influences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