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SAC III — Cross Modal Aesthetic Transfer</w:t>
      </w:r>
    </w:p>
    <w:p>
      <w:pPr>
        <w:pStyle w:val="Heading1"/>
      </w:pPr>
      <w:r>
        <w:t>Cross‑Modal Projection</w:t>
      </w:r>
    </w:p>
    <w:p>
      <w:r>
        <w:t>Aesthetic structures can transfer across modalities.</w:t>
      </w:r>
    </w:p>
    <w:p>
      <w:r>
        <w:t>Ψ : A → X</w:t>
      </w:r>
    </w:p>
    <w:p>
      <w:r>
        <w:t>This operator maps aesthetic patterns from one symbolic domain into another.</w:t>
      </w:r>
    </w:p>
    <w:p>
      <w:pPr>
        <w:pStyle w:val="Heading1"/>
      </w:pPr>
      <w:r>
        <w:t>Examples</w:t>
      </w:r>
    </w:p>
    <w:p>
      <w:r>
        <w:t>music → language</w:t>
        <w:br/>
        <w:t>music → visual composition</w:t>
        <w:br/>
        <w:t>rhythm → narrative pacing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