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SAC II — Aesthetic Tensor Space</w:t>
      </w:r>
    </w:p>
    <w:p>
      <w:pPr>
        <w:pStyle w:val="Heading1"/>
      </w:pPr>
      <w:r>
        <w:t>Aesthetic Latent Space</w:t>
      </w:r>
    </w:p>
    <w:p>
      <w:r>
        <w:t>Symbolic structures can be embedded within an aesthetic latent space representing tension relationships.</w:t>
      </w:r>
    </w:p>
    <w:p>
      <w:r>
        <w:t>This space allows symbolic trajectories to be analyzed mathematically.</w:t>
      </w:r>
    </w:p>
    <w:p>
      <w:pPr>
        <w:pStyle w:val="Heading1"/>
      </w:pPr>
      <w:r>
        <w:t>Tensor Representation</w:t>
      </w:r>
    </w:p>
    <w:p>
      <w:r>
        <w:t>The aesthetic field can be represented as a tensor space where symbolic relationships generate curvature.</w:t>
      </w:r>
    </w:p>
    <w:p>
      <w:pPr>
        <w:pStyle w:val="Heading1"/>
      </w:pPr>
      <w:r>
        <w:t>Curvature and Trajectory</w:t>
      </w:r>
    </w:p>
    <w:p>
      <w:r>
        <w:t>Curvature describes how tension changes across symbolic sequences, creating trajectories through aesthetic space.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