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IV — Meta Aesthetic Cognition</w:t>
      </w:r>
    </w:p>
    <w:p>
      <w:pPr>
        <w:pStyle w:val="Heading1"/>
      </w:pPr>
      <w:r>
        <w:t>Meta‑Aesthetic Cognition</w:t>
      </w:r>
    </w:p>
    <w:p>
      <w:r>
        <w:t>A system capable of meta‑aesthetic cognition evaluates its own aesthetic processes.</w:t>
      </w:r>
    </w:p>
    <w:p>
      <w:pPr>
        <w:pStyle w:val="Heading1"/>
      </w:pPr>
      <w:r>
        <w:t>Self Modification</w:t>
      </w:r>
    </w:p>
    <w:p>
      <w:r>
        <w:t>Aesthetic operator systems may adjust their own evaluation rules based on prior outputs.</w:t>
      </w:r>
    </w:p>
    <w:p>
      <w:pPr>
        <w:pStyle w:val="Heading1"/>
      </w:pPr>
      <w:r>
        <w:t>Aesthetic Identity</w:t>
      </w:r>
    </w:p>
    <w:p>
      <w:r>
        <w:t>Stable aesthetic attractors can form persistent stylistic identities within generative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