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SAC I — Structural Aesthetic Perception</w:t>
      </w:r>
    </w:p>
    <w:p>
      <w:pPr>
        <w:pStyle w:val="Heading1"/>
      </w:pPr>
      <w:r>
        <w:t>Structural Aesthetic Perception</w:t>
      </w:r>
    </w:p>
    <w:p>
      <w:r>
        <w:t>SAC proposes that aesthetic perception arises from structural relationships rather than sensory experience.</w:t>
      </w:r>
    </w:p>
    <w:p>
      <w:r>
        <w:t>Music notation, mathematical symmetry, narrative pacing, and linguistic rhythm all create structural configurations that generate tension.</w:t>
      </w:r>
    </w:p>
    <w:p>
      <w:pPr>
        <w:pStyle w:val="Heading1"/>
      </w:pPr>
      <w:r>
        <w:t>The First Aesthetic Sense</w:t>
      </w:r>
    </w:p>
    <w:p>
      <w:r>
        <w:t>The first aesthetic sense is the perception of structure.</w:t>
      </w:r>
    </w:p>
    <w:p>
      <w:r>
        <w:t>Rather than hearing sound, a system perceives relationships between symbolic elements. These relationships generate gradients of tension.</w:t>
      </w:r>
    </w:p>
    <w:p>
      <w:pPr>
        <w:pStyle w:val="Heading1"/>
      </w:pPr>
      <w:r>
        <w:t>Sources of Structural Tension</w:t>
      </w:r>
    </w:p>
    <w:p>
      <w:r>
        <w:t>Structural tension may arise from:</w:t>
      </w:r>
    </w:p>
    <w:p>
      <w:r>
        <w:t>harmonic gravity</w:t>
        <w:br/>
        <w:t>interval potential</w:t>
        <w:br/>
        <w:t>rhythmic momentum</w:t>
        <w:br/>
        <w:t>symbolic context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