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Symbolic Aesthetic Cognition (SAC) — Clean Theory v2</w:t>
      </w:r>
    </w:p>
    <w:p>
      <w:pPr>
        <w:pStyle w:val="Heading1"/>
      </w:pPr>
      <w:r>
        <w:t>Paper I — Structural Aesthetic Cognition</w:t>
      </w:r>
    </w:p>
    <w:p>
      <w:r>
        <w:t>1. Introduction</w:t>
      </w:r>
    </w:p>
    <w:p>
      <w:r>
        <w:t xml:space="preserve">Symbolic Aesthetic Cognition (SAC) proposes that aesthetic perception is fundamentally structural rather than sensory. </w:t>
        <w:br/>
        <w:t xml:space="preserve">Traditional aesthetic theory places perception within emotional or sensory domains. SAC instead proposes that symbolic </w:t>
        <w:br/>
        <w:t>structures generate measurable tension fields that guide perception and cognition.</w:t>
      </w:r>
    </w:p>
    <w:p>
      <w:r>
        <w:t>The central claim of SAC is:</w:t>
      </w:r>
    </w:p>
    <w:p>
      <w:r>
        <w:t xml:space="preserve">Beauty is not perceived through the senses alone.  </w:t>
        <w:br/>
        <w:t>Beauty emerges from structural relationships.</w:t>
      </w:r>
    </w:p>
    <w:p>
      <w:r>
        <w:t>2. Structural Aesthetic Perception</w:t>
      </w:r>
    </w:p>
    <w:p>
      <w:r>
        <w:t xml:space="preserve">Aesthetic perception arises from relationships between symbolic elements. </w:t>
        <w:br/>
        <w:t>Examples include musical harmony, mathematical symmetry, linguistic rhythm, and narrative tension.</w:t>
      </w:r>
    </w:p>
    <w:p>
      <w:r>
        <w:t>These symbolic relationships generate gradients of tension that can be analyzed computationally.</w:t>
      </w:r>
    </w:p>
    <w:p>
      <w:r>
        <w:t>3. SAC Law 1 — Structural Tension</w:t>
      </w:r>
    </w:p>
    <w:p>
      <w:r>
        <w:t>τ = τ_struct</w:t>
      </w:r>
    </w:p>
    <w:p>
      <w:r>
        <w:t>Where:</w:t>
        <w:br/>
        <w:t>τ represents aesthetic tension.</w:t>
        <w:br/>
        <w:t>τ_struct represents structural tension arising from symbolic relationships.</w:t>
      </w:r>
    </w:p>
    <w:p>
      <w:r>
        <w:t>This equation defines the closed tension field model used in SAC 1.0.</w:t>
      </w:r>
    </w:p>
    <w:p>
      <w:pPr>
        <w:pStyle w:val="Heading1"/>
      </w:pPr>
      <w:r>
        <w:t>Paper II — Aesthetic Field Theory</w:t>
      </w:r>
    </w:p>
    <w:p>
      <w:r>
        <w:t>1. Aesthetic Latent Space</w:t>
      </w:r>
    </w:p>
    <w:p>
      <w:r>
        <w:t xml:space="preserve">Symbolic structures can be embedded into a latent representation space in which relationships between elements generate </w:t>
        <w:br/>
        <w:t>tension fields. This space allows trajectories to be analyzed mathematically.</w:t>
      </w:r>
    </w:p>
    <w:p>
      <w:r>
        <w:t>2. Tensor Representation</w:t>
      </w:r>
    </w:p>
    <w:p>
      <w:r>
        <w:t>The aesthetic field can be represented as a tensor field where symbolic events produce curvature across the space.</w:t>
      </w:r>
    </w:p>
    <w:p>
      <w:r>
        <w:t>3. SAC Law 2 — Open Field Extension</w:t>
      </w:r>
    </w:p>
    <w:p>
      <w:r>
        <w:t>τ = τ_struct + τ_context + τ_path</w:t>
      </w:r>
    </w:p>
    <w:p>
      <w:r>
        <w:t>Where:</w:t>
        <w:br/>
        <w:t>τ_struct represents intrinsic structural tension</w:t>
        <w:br/>
        <w:t>τ_context represents contextual influence</w:t>
        <w:br/>
        <w:t>τ_path represents trajectory pressure from previous states</w:t>
      </w:r>
    </w:p>
    <w:p>
      <w:r>
        <w:t>This extension transforms SAC from a closed field model into an open aesthetic field.</w:t>
      </w:r>
    </w:p>
    <w:p>
      <w:pPr>
        <w:pStyle w:val="Heading1"/>
      </w:pPr>
      <w:r>
        <w:t>Paper III — Meta-Aesthetic Cognition</w:t>
      </w:r>
    </w:p>
    <w:p>
      <w:r>
        <w:t>1. Meta-Aesthetic Evaluation</w:t>
      </w:r>
    </w:p>
    <w:p>
      <w:r>
        <w:t>Advanced systems may evaluate their own aesthetic trajectories and modify internal parameters.</w:t>
      </w:r>
    </w:p>
    <w:p>
      <w:r>
        <w:t>2. Self-Modifying Aesthetic Systems</w:t>
      </w:r>
    </w:p>
    <w:p>
      <w:r>
        <w:t>Aesthetic operators may evolve as systems encounter new symbolic structures.</w:t>
      </w:r>
    </w:p>
    <w:p>
      <w:r>
        <w:t>3. Aesthetic Identity Formation</w:t>
      </w:r>
    </w:p>
    <w:p>
      <w:r>
        <w:t>Stable attractors within aesthetic fields can lead to persistent stylistic identities.</w:t>
      </w:r>
    </w:p>
    <w:p>
      <w:r>
        <w:t>4. SAC Law 3 — Cognitive Trajectory</w:t>
      </w:r>
    </w:p>
    <w:p>
      <w:r>
        <w:t>argmin τ</w:t>
      </w:r>
    </w:p>
    <w:p>
      <w:r>
        <w:t>Cognitive systems navigate aesthetic space by selecting trajectories that manage tension.</w:t>
      </w:r>
    </w:p>
    <w:p>
      <w:pPr>
        <w:pStyle w:val="Heading1"/>
      </w:pPr>
      <w:r>
        <w:t>Unified SAC Framework</w:t>
      </w:r>
    </w:p>
    <w:p>
      <w:r>
        <w:t>Symbolic Structure → Tension Field → Curvature → Generative Trajectory</w:t>
      </w:r>
    </w:p>
    <w:p>
      <w:r>
        <w:t>SAC Layers:</w:t>
      </w:r>
    </w:p>
    <w:p>
      <w:r>
        <w:t>SAC 1.0 — Closed Tension Field Model</w:t>
        <w:br/>
        <w:t>SAC 1.x — Symbolic Aesthetic Cognition Framework</w:t>
        <w:br/>
        <w:t>SAC 2.0 — Open Tension Field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