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Formal Theory v3</w:t>
      </w:r>
    </w:p>
    <w:p>
      <w:pPr>
        <w:pStyle w:val="Heading1"/>
      </w:pPr>
      <w:r>
        <w:t>1. Formal Symbol System</w:t>
      </w:r>
    </w:p>
    <w:p>
      <w:r>
        <w:t>To formalize Symbolic Aesthetic Cognition, SAC introduces a minimal symbolic system.</w:t>
      </w:r>
    </w:p>
    <w:p>
      <w:r>
        <w:t xml:space="preserve">S : symbolic structure  </w:t>
        <w:br/>
        <w:t xml:space="preserve">τ : tension field  </w:t>
        <w:br/>
        <w:t xml:space="preserve">Λ : attractor state  </w:t>
        <w:br/>
        <w:t xml:space="preserve">κ : curvature of trajectory  </w:t>
        <w:br/>
        <w:t>Ψ : cross‑modal projection operator</w:t>
      </w:r>
    </w:p>
    <w:p>
      <w:r>
        <w:t xml:space="preserve">Symbolic structures are represented as ordered relational graphs. </w:t>
        <w:br/>
        <w:t>Each structure generates a measurable tension field across its representation space.</w:t>
      </w:r>
    </w:p>
    <w:p>
      <w:pPr>
        <w:pStyle w:val="Heading1"/>
      </w:pPr>
      <w:r>
        <w:t>2. Structural Mapping</w:t>
      </w:r>
    </w:p>
    <w:p>
      <w:r>
        <w:t>A symbolic structure S produces a tension field τ through a structural mapping function.</w:t>
      </w:r>
    </w:p>
    <w:p>
      <w:r>
        <w:t>S → τ(S)</w:t>
      </w:r>
    </w:p>
    <w:p>
      <w:r>
        <w:t>The mapping function evaluates relational distances, symbolic hierarchy, and sequential ordering.</w:t>
        <w:br/>
        <w:t>The resulting field defines gradients that guide cognitive movement.</w:t>
      </w:r>
    </w:p>
    <w:p>
      <w:pPr>
        <w:pStyle w:val="Heading1"/>
      </w:pPr>
      <w:r>
        <w:t>3. Attractor Dynamics</w:t>
      </w:r>
    </w:p>
    <w:p>
      <w:r>
        <w:t>Stable configurations within the tension field form attractor states.</w:t>
      </w:r>
    </w:p>
    <w:p>
      <w:r>
        <w:t>Λ(t)</w:t>
      </w:r>
    </w:p>
    <w:p>
      <w:r>
        <w:t>Attractors represent symbolic configurations where tension becomes locally minimized.</w:t>
        <w:br/>
        <w:t>These states often correspond to aesthetic resolution points in music, narrative, or visual composition.</w:t>
      </w:r>
    </w:p>
    <w:p>
      <w:pPr>
        <w:pStyle w:val="Heading1"/>
      </w:pPr>
      <w:r>
        <w:t>4. Curvature and Trajectory</w:t>
      </w:r>
    </w:p>
    <w:p>
      <w:r>
        <w:t>Cognitive motion across aesthetic space is described by curvature κ.</w:t>
      </w:r>
    </w:p>
    <w:p>
      <w:r>
        <w:t>κ describes how tension gradients change across symbolic sequences.</w:t>
      </w:r>
    </w:p>
    <w:p>
      <w:r>
        <w:t>Trajectories follow paths that balance tension escalation and resolution.</w:t>
      </w:r>
    </w:p>
    <w:p>
      <w:pPr>
        <w:pStyle w:val="Heading1"/>
      </w:pPr>
      <w:r>
        <w:t>5. Cross‑Modal Operator</w:t>
      </w:r>
    </w:p>
    <w:p>
      <w:r>
        <w:t>The cross‑modal operator Ψ enables aesthetic structures to transfer between symbolic domains.</w:t>
      </w:r>
    </w:p>
    <w:p>
      <w:r>
        <w:t>Ψ : A → X</w:t>
      </w:r>
    </w:p>
    <w:p>
      <w:r>
        <w:t>Examples include:</w:t>
      </w:r>
    </w:p>
    <w:p>
      <w:r>
        <w:t xml:space="preserve">music → language  </w:t>
        <w:br/>
        <w:t xml:space="preserve">music → visual composition  </w:t>
        <w:br/>
        <w:t>rhythm → narrative pacing</w:t>
      </w:r>
    </w:p>
    <w:p>
      <w:r>
        <w:t>This operator enables aesthetic cognition to operate across multiple symbolic systems.</w:t>
      </w:r>
    </w:p>
    <w:p>
      <w:pPr>
        <w:pStyle w:val="Heading1"/>
      </w:pPr>
      <w:r>
        <w:t>6. Cognitive Trajectory Law</w:t>
      </w:r>
    </w:p>
    <w:p>
      <w:r>
        <w:t>Cognitive systems navigate symbolic space through tension management.</w:t>
      </w:r>
    </w:p>
    <w:p>
      <w:r>
        <w:t>argmin τ</w:t>
      </w:r>
    </w:p>
    <w:p>
      <w:r>
        <w:t>Rather than eliminating tension entirely, systems select trajectories that maintain structured tension evolution.</w:t>
      </w:r>
    </w:p>
    <w:p>
      <w:pPr>
        <w:pStyle w:val="Heading1"/>
      </w:pPr>
      <w:r>
        <w:t>7. SAC Cognitive Model</w:t>
      </w:r>
    </w:p>
    <w:p>
      <w:r>
        <w:t>Input Structure</w:t>
        <w:br/>
        <w:t>↓</w:t>
        <w:br/>
        <w:t>Tension Evaluation</w:t>
        <w:br/>
        <w:t>↓</w:t>
        <w:br/>
        <w:t>Trajectory Selection</w:t>
        <w:br/>
        <w:t>↓</w:t>
        <w:br/>
        <w:t>Symbolic Generation</w:t>
      </w:r>
    </w:p>
    <w:p>
      <w:r>
        <w:t>This loop forms the operational core of Symbolic Aesthetic Cognition.</w:t>
      </w:r>
    </w:p>
    <w:p>
      <w:pPr>
        <w:pStyle w:val="Heading1"/>
      </w:pPr>
      <w:r>
        <w:t>8. SAC System Layers</w:t>
      </w:r>
    </w:p>
    <w:p>
      <w:r>
        <w:t xml:space="preserve">SAC 1.0 — Closed Tension Field Model  </w:t>
        <w:br/>
        <w:t xml:space="preserve">SAC 1.x — Symbolic Aesthetic Cognition Framework  </w:t>
        <w:br/>
        <w:t>SAC 2.0 — Open Tension Field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