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Symbolic Aesthetic Cognition (SAC) — Formal Theory v4</w:t>
      </w:r>
    </w:p>
    <w:p>
      <w:pPr>
        <w:pStyle w:val="Heading1"/>
      </w:pPr>
      <w:r>
        <w:t>1. Symbolic Domain</w:t>
      </w:r>
    </w:p>
    <w:p>
      <w:r>
        <w:t>Let S denote a symbolic structure composed of relational elements.</w:t>
        <w:br/>
        <w:t>Examples include musical notation, linguistic structures, mathematical expressions, and narrative sequences.</w:t>
      </w:r>
    </w:p>
    <w:p>
      <w:r>
        <w:t>Formally:</w:t>
      </w:r>
    </w:p>
    <w:p>
      <w:r>
        <w:t>S ∈ 𝒮</w:t>
      </w:r>
    </w:p>
    <w:p>
      <w:r>
        <w:t>where 𝒮 is the space of symbolic structures.</w:t>
      </w:r>
    </w:p>
    <w:p>
      <w:r>
        <w:t>Each structure induces an aesthetic tension field defined over its representation space.</w:t>
      </w:r>
    </w:p>
    <w:p>
      <w:pPr>
        <w:pStyle w:val="Heading1"/>
      </w:pPr>
      <w:r>
        <w:t>2. Tension Field Definition</w:t>
      </w:r>
    </w:p>
    <w:p>
      <w:r>
        <w:t>The tension field τ is defined as a mapping from symbolic structures to a real-valued field.</w:t>
      </w:r>
    </w:p>
    <w:p>
      <w:r>
        <w:t>τ : S → ℝ</w:t>
      </w:r>
    </w:p>
    <w:p>
      <w:r>
        <w:t>τ(S) measures the structural tension produced by relationships between symbolic elements.</w:t>
      </w:r>
    </w:p>
    <w:p>
      <w:r>
        <w:t>The simplest SAC 1.0 model assumes:</w:t>
      </w:r>
    </w:p>
    <w:p>
      <w:r>
        <w:t>τ = τ_struct</w:t>
      </w:r>
    </w:p>
    <w:p>
      <w:pPr>
        <w:pStyle w:val="Heading1"/>
      </w:pPr>
      <w:r>
        <w:t>3. Gradient of Tension</w:t>
      </w:r>
    </w:p>
    <w:p>
      <w:r>
        <w:t>The evolution of symbolic cognition is governed by the gradient of the tension field.</w:t>
      </w:r>
    </w:p>
    <w:p>
      <w:r>
        <w:t>∇τ</w:t>
      </w:r>
    </w:p>
    <w:p>
      <w:r>
        <w:t>The gradient describes how tension changes locally within symbolic space.</w:t>
        <w:br/>
        <w:t>Cognitive systems move through symbolic configurations following tension gradients.</w:t>
      </w:r>
    </w:p>
    <w:p>
      <w:pPr>
        <w:pStyle w:val="Heading1"/>
      </w:pPr>
      <w:r>
        <w:t>4. Generative Dynamics</w:t>
      </w:r>
    </w:p>
    <w:p>
      <w:r>
        <w:t>Symbolic generation can be modeled as a dynamical system.</w:t>
      </w:r>
    </w:p>
    <w:p>
      <w:r>
        <w:t>dS/dt = -∇τ</w:t>
      </w:r>
    </w:p>
    <w:p>
      <w:r>
        <w:t>This equation describes the motion of symbolic structures toward lower tension states.</w:t>
        <w:br/>
        <w:t>Rather than eliminating tension entirely, the system navigates trajectories that manage tension evolution.</w:t>
      </w:r>
    </w:p>
    <w:p>
      <w:pPr>
        <w:pStyle w:val="Heading1"/>
      </w:pPr>
      <w:r>
        <w:t>5. Attractor Formation</w:t>
      </w:r>
    </w:p>
    <w:p>
      <w:r>
        <w:t>Stable symbolic configurations form attractor states.</w:t>
      </w:r>
    </w:p>
    <w:p>
      <w:r>
        <w:t>Λ(t)</w:t>
      </w:r>
    </w:p>
    <w:p>
      <w:r>
        <w:t>An attractor represents a locally stable configuration where the gradient of tension approaches zero.</w:t>
        <w:br/>
        <w:t>These attractors correspond to aesthetic resolution points.</w:t>
      </w:r>
    </w:p>
    <w:p>
      <w:pPr>
        <w:pStyle w:val="Heading1"/>
      </w:pPr>
      <w:r>
        <w:t>6. Cross-Modal Transformation</w:t>
      </w:r>
    </w:p>
    <w:p>
      <w:r>
        <w:t>The cross-modal operator Ψ maps aesthetic structures across symbolic domains.</w:t>
      </w:r>
    </w:p>
    <w:p>
      <w:r>
        <w:t>Ψ : A → X</w:t>
      </w:r>
    </w:p>
    <w:p>
      <w:r>
        <w:t>This operator allows aesthetic trajectories to transfer between domains such as:</w:t>
      </w:r>
    </w:p>
    <w:p>
      <w:r>
        <w:t>music → language</w:t>
        <w:br/>
        <w:t>music → visual composition</w:t>
        <w:br/>
        <w:t>rhythm → narrative pacing</w:t>
      </w:r>
    </w:p>
    <w:p>
      <w:pPr>
        <w:pStyle w:val="Heading1"/>
      </w:pPr>
      <w:r>
        <w:t>7. SAC Cognitive Loop</w:t>
      </w:r>
    </w:p>
    <w:p>
      <w:r>
        <w:t>The operational cognition loop of SAC can be described as:</w:t>
      </w:r>
    </w:p>
    <w:p>
      <w:r>
        <w:t>Input Structure S</w:t>
        <w:br/>
        <w:t>↓</w:t>
        <w:br/>
        <w:t>Tension Field Evaluation τ(S)</w:t>
        <w:br/>
        <w:t>↓</w:t>
        <w:br/>
        <w:t>Gradient Navigation ∇τ</w:t>
        <w:br/>
        <w:t>↓</w:t>
        <w:br/>
        <w:t>Trajectory Selection</w:t>
        <w:br/>
        <w:t>↓</w:t>
        <w:br/>
        <w:t>Symbolic Generation S'</w:t>
      </w:r>
    </w:p>
    <w:p>
      <w:r>
        <w:t>This loop forms the generative engine of symbolic aesthetic cognition.</w:t>
      </w:r>
    </w:p>
    <w:p>
      <w:pPr>
        <w:pStyle w:val="Heading1"/>
      </w:pPr>
      <w:r>
        <w:t>8. System Layers</w:t>
      </w:r>
    </w:p>
    <w:p>
      <w:r>
        <w:t>SAC 1.0 — Closed Tension Field</w:t>
        <w:br/>
        <w:t>τ = τ_struct</w:t>
      </w:r>
    </w:p>
    <w:p>
      <w:r>
        <w:t>SAC 1.x — Symbolic Aesthetic Cognition Framework</w:t>
      </w:r>
    </w:p>
    <w:p>
      <w:r>
        <w:t>SAC 2.0 — Open Field Model</w:t>
        <w:br/>
        <w:t>τ = τ_struct + τ_context + τ_path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