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Symbolic Aesthetic Cognition (SAC) — Formal Theory v5</w:t>
      </w:r>
    </w:p>
    <w:p>
      <w:pPr>
        <w:pStyle w:val="Heading1"/>
      </w:pPr>
      <w:r>
        <w:t>1. Symbolic Structure Space</w:t>
      </w:r>
    </w:p>
    <w:p>
      <w:r>
        <w:t>Let S denote a symbolic configuration within the symbolic space 𝒮.</w:t>
      </w:r>
    </w:p>
    <w:p>
      <w:r>
        <w:t>S ∈ 𝒮</w:t>
      </w:r>
    </w:p>
    <w:p>
      <w:r>
        <w:t>The symbolic space may represent language, music, mathematics, visual composition, or narrative structure.</w:t>
        <w:br/>
        <w:t>Each configuration generates an aesthetic tension value through relational structure.</w:t>
      </w:r>
    </w:p>
    <w:p>
      <w:pPr>
        <w:pStyle w:val="Heading1"/>
      </w:pPr>
      <w:r>
        <w:t>2. Tension Field</w:t>
      </w:r>
    </w:p>
    <w:p>
      <w:r>
        <w:t>The SAC tension field τ is defined as:</w:t>
      </w:r>
    </w:p>
    <w:p>
      <w:r>
        <w:t>τ : S → ℝ</w:t>
      </w:r>
    </w:p>
    <w:p>
      <w:r>
        <w:t>This function maps symbolic structures to real-valued tension measurements.</w:t>
        <w:br/>
        <w:t>The value reflects structural imbalance, expectation deviation, and symbolic incompleteness.</w:t>
      </w:r>
    </w:p>
    <w:p>
      <w:pPr>
        <w:pStyle w:val="Heading1"/>
      </w:pPr>
      <w:r>
        <w:t>3. Tension Gradient</w:t>
      </w:r>
    </w:p>
    <w:p>
      <w:r>
        <w:t>Local change in the tension field is defined as the gradient:</w:t>
      </w:r>
    </w:p>
    <w:p>
      <w:r>
        <w:t>∇τ</w:t>
      </w:r>
    </w:p>
    <w:p>
      <w:r>
        <w:t>The gradient determines the direction in which symbolic cognition moves within the symbolic space.</w:t>
      </w:r>
    </w:p>
    <w:p>
      <w:pPr>
        <w:pStyle w:val="Heading1"/>
      </w:pPr>
      <w:r>
        <w:t>4. Generative Dynamics</w:t>
      </w:r>
    </w:p>
    <w:p>
      <w:r>
        <w:t>Symbolic cognition evolves as a dynamical system governed by tension gradients.</w:t>
      </w:r>
    </w:p>
    <w:p>
      <w:r>
        <w:t>dS/dt = -∇τ</w:t>
      </w:r>
    </w:p>
    <w:p>
      <w:r>
        <w:t>This describes motion toward configurations that restructure tension rather than eliminate it completely.</w:t>
      </w:r>
    </w:p>
    <w:p>
      <w:pPr>
        <w:pStyle w:val="Heading1"/>
      </w:pPr>
      <w:r>
        <w:t>5. Attractor Stability</w:t>
      </w:r>
    </w:p>
    <w:p>
      <w:r>
        <w:t>Stable symbolic states are attractors in the tension field.</w:t>
      </w:r>
    </w:p>
    <w:p>
      <w:r>
        <w:t>Λ : ∇τ = 0</w:t>
      </w:r>
    </w:p>
    <w:p>
      <w:r>
        <w:t>These attractors correspond to stable aesthetic or conceptual configurations such as harmonic resolution,</w:t>
        <w:br/>
        <w:t>narrative closure, or mathematical completion.</w:t>
      </w:r>
    </w:p>
    <w:p>
      <w:pPr>
        <w:pStyle w:val="Heading1"/>
      </w:pPr>
      <w:r>
        <w:t>6. Trajectory Curvature</w:t>
      </w:r>
    </w:p>
    <w:p>
      <w:r>
        <w:t>The curvature of symbolic motion is defined as:</w:t>
      </w:r>
    </w:p>
    <w:p>
      <w:r>
        <w:t>κ = d²S/dt²</w:t>
      </w:r>
    </w:p>
    <w:p>
      <w:r>
        <w:t>Curvature measures how rapidly the trajectory changes direction inside symbolic space.</w:t>
        <w:br/>
        <w:t>High curvature regions correspond to conceptual discovery or creative transition zones.</w:t>
      </w:r>
    </w:p>
    <w:p>
      <w:pPr>
        <w:pStyle w:val="Heading1"/>
      </w:pPr>
      <w:r>
        <w:t>7. Permissible Tension Escalation</w:t>
      </w:r>
    </w:p>
    <w:p>
      <w:r>
        <w:t>SAC recognizes that creativity requires controlled escalation of tension rather than monotonic reduction.</w:t>
      </w:r>
    </w:p>
    <w:p>
      <w:r>
        <w:t>Permissible escalation occurs when:</w:t>
      </w:r>
    </w:p>
    <w:p>
      <w:r>
        <w:t>dτ/dt &gt; 0</w:t>
      </w:r>
    </w:p>
    <w:p>
      <w:r>
        <w:t>but remains within stable bounds that prevent collapse of symbolic coherence.</w:t>
      </w:r>
    </w:p>
    <w:p>
      <w:pPr>
        <w:pStyle w:val="Heading1"/>
      </w:pPr>
      <w:r>
        <w:t>8. Cross‑Modal Projection</w:t>
      </w:r>
    </w:p>
    <w:p>
      <w:r>
        <w:t>A cross‑modal operator Ψ maps symbolic trajectories across domains.</w:t>
      </w:r>
    </w:p>
    <w:p>
      <w:r>
        <w:t>Ψ : A → X</w:t>
      </w:r>
    </w:p>
    <w:p>
      <w:r>
        <w:t>Examples include:</w:t>
        <w:br/>
        <w:t>music → language</w:t>
        <w:br/>
        <w:t>visual form → narrative pacing</w:t>
        <w:br/>
        <w:t>rhythm → mathematical structure</w:t>
      </w:r>
    </w:p>
    <w:p>
      <w:pPr>
        <w:pStyle w:val="Heading1"/>
      </w:pPr>
      <w:r>
        <w:t>9. SAC Cognitive Engine</w:t>
      </w:r>
    </w:p>
    <w:p>
      <w:r>
        <w:t>SAC cognition can be represented as an iterative loop:</w:t>
      </w:r>
    </w:p>
    <w:p>
      <w:r>
        <w:t>Input Symbolic Structure</w:t>
        <w:br/>
        <w:t>↓</w:t>
        <w:br/>
        <w:t>Tension Evaluation</w:t>
        <w:br/>
        <w:t>↓</w:t>
        <w:br/>
        <w:t>Gradient Navigation</w:t>
        <w:br/>
        <w:t>↓</w:t>
        <w:br/>
        <w:t>Trajectory Adjustment</w:t>
        <w:br/>
        <w:t>↓</w:t>
        <w:br/>
        <w:t>Symbolic Generation</w:t>
      </w:r>
    </w:p>
    <w:p>
      <w:pPr>
        <w:pStyle w:val="Heading1"/>
      </w:pPr>
      <w:r>
        <w:t>10. SAC System Layers</w:t>
      </w:r>
    </w:p>
    <w:p>
      <w:r>
        <w:t>SAC 1.0 — Closed Structural Tension Field</w:t>
      </w:r>
    </w:p>
    <w:p>
      <w:r>
        <w:t>τ = τ_struct</w:t>
      </w:r>
    </w:p>
    <w:p>
      <w:r>
        <w:t>SAC 1.x — Symbolic Aesthetic Cognition Framework</w:t>
      </w:r>
    </w:p>
    <w:p>
      <w:r>
        <w:t>SAC 2.0 — Open Tension Field Architecture</w:t>
      </w:r>
    </w:p>
    <w:p>
      <w:r>
        <w:t>τ = τ_struct + τ_context + τ_path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