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v1</w:t>
      </w:r>
    </w:p>
    <w:p>
      <w:pPr>
        <w:pStyle w:val="Heading1"/>
      </w:pPr>
      <w:r>
        <w:t>Preface</w:t>
      </w:r>
    </w:p>
    <w:p>
      <w:r>
        <w:t>Symbolic Aesthetic Cognition (SAC) proposes that cognition can be modeled as motion through symbolic space governed by tension fields.</w:t>
        <w:br/>
        <w:t>Rather than treating reasoning purely as logical inference, SAC treats symbolic structures as generators of aesthetic tension.</w:t>
        <w:br/>
        <w:t>Cognitive processes then evolve by navigating these tension landscapes.</w:t>
      </w:r>
    </w:p>
    <w:p>
      <w:pPr>
        <w:pStyle w:val="Heading1"/>
      </w:pPr>
      <w:r>
        <w:t>Chapter 1 — Symbolic Space</w:t>
      </w:r>
    </w:p>
    <w:p>
      <w:r>
        <w:t>Let S denote a symbolic configuration.</w:t>
      </w:r>
    </w:p>
    <w:p>
      <w:r>
        <w:t>S ∈ 𝒮</w:t>
      </w:r>
    </w:p>
    <w:p>
      <w:r>
        <w:t>The symbolic space 𝒮 may represent language, music, mathematics, visual structures, or narrative forms.</w:t>
      </w:r>
    </w:p>
    <w:p>
      <w:r>
        <w:t>Each configuration possesses internal relational structure that can generate tension.</w:t>
      </w:r>
    </w:p>
    <w:p>
      <w:pPr>
        <w:pStyle w:val="Heading1"/>
      </w:pPr>
      <w:r>
        <w:t>Chapter 2 — Tension Field</w:t>
      </w:r>
    </w:p>
    <w:p>
      <w:r>
        <w:t>The tension field is defined as a mapping:</w:t>
      </w:r>
    </w:p>
    <w:p>
      <w:r>
        <w:t>τ : S → ℝ</w:t>
      </w:r>
    </w:p>
    <w:p>
      <w:r>
        <w:t>τ(S) measures structural imbalance or unresolved relations within a symbolic configuration.</w:t>
      </w:r>
    </w:p>
    <w:p>
      <w:pPr>
        <w:pStyle w:val="Heading1"/>
      </w:pPr>
      <w:r>
        <w:t>Chapter 3 — Gradient Navigation</w:t>
      </w:r>
    </w:p>
    <w:p>
      <w:r>
        <w:t>Cognition evolves by following gradients in the tension field.</w:t>
      </w:r>
    </w:p>
    <w:p>
      <w:r>
        <w:t>∇τ</w:t>
      </w:r>
    </w:p>
    <w:p>
      <w:r>
        <w:t>Gradients indicate directions where symbolic reconfiguration most strongly changes tension.</w:t>
      </w:r>
    </w:p>
    <w:p>
      <w:pPr>
        <w:pStyle w:val="Heading1"/>
      </w:pPr>
      <w:r>
        <w:t>Chapter 4 — Cognitive Dynamics</w:t>
      </w:r>
    </w:p>
    <w:p>
      <w:r>
        <w:t>Symbolic cognition can be modeled as:</w:t>
      </w:r>
    </w:p>
    <w:p>
      <w:r>
        <w:t>dS/dt = -∇τ</w:t>
      </w:r>
    </w:p>
    <w:p>
      <w:r>
        <w:t>This equation describes movement through symbolic space guided by tension gradients.</w:t>
      </w:r>
    </w:p>
    <w:p>
      <w:pPr>
        <w:pStyle w:val="Heading1"/>
      </w:pPr>
      <w:r>
        <w:t>Chapter 5 — Attractors</w:t>
      </w:r>
    </w:p>
    <w:p>
      <w:r>
        <w:t>Stable symbolic configurations satisfy:</w:t>
      </w:r>
    </w:p>
    <w:p>
      <w:r>
        <w:t>∇τ = 0</w:t>
      </w:r>
    </w:p>
    <w:p>
      <w:r>
        <w:t>These attractors correspond to aesthetic resolution or conceptual understanding.</w:t>
      </w:r>
    </w:p>
    <w:p>
      <w:pPr>
        <w:pStyle w:val="Heading1"/>
      </w:pPr>
      <w:r>
        <w:t>Chapter 6 — Curvature</w:t>
      </w:r>
    </w:p>
    <w:p>
      <w:r>
        <w:t>The curvature of symbolic trajectories is defined as:</w:t>
      </w:r>
    </w:p>
    <w:p>
      <w:r>
        <w:t>κ = d²S/dt²</w:t>
      </w:r>
    </w:p>
    <w:p>
      <w:r>
        <w:t>High curvature regions correspond to conceptual shifts and creative insights.</w:t>
      </w:r>
    </w:p>
    <w:p>
      <w:pPr>
        <w:pStyle w:val="Heading1"/>
      </w:pPr>
      <w:r>
        <w:t>Chapter 7 — Tension Escalation</w:t>
      </w:r>
    </w:p>
    <w:p>
      <w:r>
        <w:t>Creative processes require controlled escalation of tension.</w:t>
      </w:r>
    </w:p>
    <w:p>
      <w:r>
        <w:t>dτ/dt &gt; 0</w:t>
      </w:r>
    </w:p>
    <w:p>
      <w:r>
        <w:t>Escalation must remain within structural coherence limits.</w:t>
      </w:r>
    </w:p>
    <w:p>
      <w:pPr>
        <w:pStyle w:val="Heading1"/>
      </w:pPr>
      <w:r>
        <w:t>Chapter 8 — Cross‑Modal Projection</w:t>
      </w:r>
    </w:p>
    <w:p>
      <w:r>
        <w:t>Operator Ψ enables transfer of aesthetic structures across symbolic domains.</w:t>
      </w:r>
    </w:p>
    <w:p>
      <w:r>
        <w:t>Ψ : A → X</w:t>
      </w:r>
    </w:p>
    <w:p>
      <w:r>
        <w:t>Examples include rhythm → narrative pacing or harmony → visual composition.</w:t>
      </w:r>
    </w:p>
    <w:p>
      <w:pPr>
        <w:pStyle w:val="Heading1"/>
      </w:pPr>
      <w:r>
        <w:t>Chapter 9 — Cognitive Loop</w:t>
      </w:r>
    </w:p>
    <w:p>
      <w:r>
        <w:t>SAC cognition loop:</w:t>
      </w:r>
    </w:p>
    <w:p>
      <w:r>
        <w:t>Input Structure</w:t>
        <w:br/>
        <w:t>↓</w:t>
        <w:br/>
        <w:t>Tension Evaluation</w:t>
        <w:br/>
        <w:t>↓</w:t>
        <w:br/>
        <w:t>Gradient Navigation</w:t>
        <w:br/>
        <w:t>↓</w:t>
        <w:br/>
        <w:t>Trajectory Adjustment</w:t>
        <w:br/>
        <w:t>↓</w:t>
        <w:br/>
        <w:t>Symbolic Generation</w:t>
      </w:r>
    </w:p>
    <w:p>
      <w:pPr>
        <w:pStyle w:val="Heading1"/>
      </w:pPr>
      <w:r>
        <w:t>Chapter 10 — SAC System Layers</w:t>
      </w:r>
    </w:p>
    <w:p>
      <w:r>
        <w:t>SAC 1.0 — Closed Structural Tension Model</w:t>
        <w:br/>
        <w:t>SAC 1.x — Symbolic Aesthetic Cognition Framework</w:t>
        <w:br/>
        <w:t>SAC 2.0 — Open Tension Field Architecture</w:t>
      </w:r>
    </w:p>
    <w:p>
      <w:pPr>
        <w:pStyle w:val="Heading1"/>
      </w:pPr>
      <w:r>
        <w:t>Conclusion</w:t>
      </w:r>
    </w:p>
    <w:p>
      <w:r>
        <w:t>SAC models cognition as movement through symbolic tension landscapes.</w:t>
        <w:br/>
        <w:t>Understanding, creativity, and aesthetic perception arise from trajectories within these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