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v2 (Extended System)</w:t>
      </w:r>
    </w:p>
    <w:p>
      <w:pPr>
        <w:pStyle w:val="Heading1"/>
      </w:pPr>
      <w:r>
        <w:t>Part I — Cognitive Ontology</w:t>
      </w:r>
    </w:p>
    <w:p>
      <w:r>
        <w:t>SAC begins from the premise that cognition is not purely logical deduction but structured motion inside symbolic systems.</w:t>
        <w:br/>
        <w:t>Human cognition constantly navigates relationships between symbols, expectations, and patterns.</w:t>
      </w:r>
    </w:p>
    <w:p>
      <w:r>
        <w:t>In SAC this navigation generates measurable tension.</w:t>
      </w:r>
    </w:p>
    <w:p>
      <w:r>
        <w:t>Symbols do not exist in isolation. They exist in relational fields.</w:t>
        <w:br/>
        <w:t>These relational configurations create dynamic cognitive landscapes.</w:t>
      </w:r>
    </w:p>
    <w:p>
      <w:pPr>
        <w:pStyle w:val="Heading1"/>
      </w:pPr>
      <w:r>
        <w:t>Part II — Symbolic Space</w:t>
      </w:r>
    </w:p>
    <w:p>
      <w:r>
        <w:t>Let S denote a symbolic configuration.</w:t>
      </w:r>
    </w:p>
    <w:p>
      <w:r>
        <w:t>S ∈ 𝒮</w:t>
      </w:r>
    </w:p>
    <w:p>
      <w:r>
        <w:t>The symbolic space 𝒮 contains all possible symbolic structures that a cognitive system can represent.</w:t>
      </w:r>
    </w:p>
    <w:p>
      <w:r>
        <w:t>Examples include:</w:t>
      </w:r>
    </w:p>
    <w:p>
      <w:r>
        <w:t>language structures</w:t>
        <w:br/>
        <w:t>mathematical expressions</w:t>
        <w:br/>
        <w:t>musical phrases</w:t>
        <w:br/>
        <w:t>visual compositions</w:t>
        <w:br/>
        <w:t>narrative arcs</w:t>
      </w:r>
    </w:p>
    <w:p>
      <w:r>
        <w:t>Each configuration generates relational structure that produces aesthetic tension.</w:t>
      </w:r>
    </w:p>
    <w:p>
      <w:pPr>
        <w:pStyle w:val="Heading1"/>
      </w:pPr>
      <w:r>
        <w:t>Part III — Tension Field Mathematics</w:t>
      </w:r>
    </w:p>
    <w:p>
      <w:r>
        <w:t>The tension field τ is defined as:</w:t>
      </w:r>
    </w:p>
    <w:p>
      <w:r>
        <w:t>τ : S → ℝ</w:t>
      </w:r>
    </w:p>
    <w:p>
      <w:r>
        <w:t>τ(S) measures structural imbalance, expectation deviation, or incomplete relational closure.</w:t>
      </w:r>
    </w:p>
    <w:p>
      <w:r>
        <w:t>The tension field defines a landscape across symbolic space.</w:t>
      </w:r>
    </w:p>
    <w:p>
      <w:pPr>
        <w:pStyle w:val="Heading1"/>
      </w:pPr>
      <w:r>
        <w:t>Part IV — Gradient Navigation</w:t>
      </w:r>
    </w:p>
    <w:p>
      <w:r>
        <w:t>Cognitive motion is guided by gradients in the tension field.</w:t>
      </w:r>
    </w:p>
    <w:p>
      <w:r>
        <w:t>∇τ</w:t>
      </w:r>
    </w:p>
    <w:p>
      <w:r>
        <w:t>Gradients indicate the directions of maximal change in tension.</w:t>
        <w:br/>
        <w:t>Cognitive systems tend to move along these gradients when generating new symbolic states.</w:t>
      </w:r>
    </w:p>
    <w:p>
      <w:pPr>
        <w:pStyle w:val="Heading1"/>
      </w:pPr>
      <w:r>
        <w:t>Part V — Cognitive Dynamics</w:t>
      </w:r>
    </w:p>
    <w:p>
      <w:r>
        <w:t>Symbolic cognition evolves dynamically.</w:t>
      </w:r>
    </w:p>
    <w:p>
      <w:r>
        <w:t>dS/dt = -∇τ</w:t>
      </w:r>
    </w:p>
    <w:p>
      <w:r>
        <w:t>This describes a flow through symbolic space driven by tension gradients.</w:t>
      </w:r>
    </w:p>
    <w:p>
      <w:r>
        <w:t>The system attempts not simply to reduce tension but to reorganize it into meaningful structures.</w:t>
      </w:r>
    </w:p>
    <w:p>
      <w:pPr>
        <w:pStyle w:val="Heading1"/>
      </w:pPr>
      <w:r>
        <w:t>Part VI — Attractor States</w:t>
      </w:r>
    </w:p>
    <w:p>
      <w:r>
        <w:t>Stable configurations exist where the gradient vanishes.</w:t>
      </w:r>
    </w:p>
    <w:p>
      <w:r>
        <w:t>∇τ = 0</w:t>
      </w:r>
    </w:p>
    <w:p>
      <w:r>
        <w:t>These points form attractors.</w:t>
      </w:r>
    </w:p>
    <w:p>
      <w:r>
        <w:t>Examples include:</w:t>
      </w:r>
    </w:p>
    <w:p>
      <w:r>
        <w:t>resolution of musical harmony</w:t>
        <w:br/>
        <w:t>completion of mathematical proofs</w:t>
        <w:br/>
        <w:t>closure of narrative arcs</w:t>
        <w:br/>
        <w:t>conceptual understanding</w:t>
      </w:r>
    </w:p>
    <w:p>
      <w:pPr>
        <w:pStyle w:val="Heading1"/>
      </w:pPr>
      <w:r>
        <w:t>Part VII — Trajectory Curvature</w:t>
      </w:r>
    </w:p>
    <w:p>
      <w:r>
        <w:t>The curvature of symbolic motion is defined as:</w:t>
      </w:r>
    </w:p>
    <w:p>
      <w:r>
        <w:t>κ = d²S/dt²</w:t>
      </w:r>
    </w:p>
    <w:p>
      <w:r>
        <w:t>Curvature measures how quickly the cognitive trajectory changes direction.</w:t>
      </w:r>
    </w:p>
    <w:p>
      <w:r>
        <w:t>High curvature zones often correspond to discovery, insight, or creative transition.</w:t>
      </w:r>
    </w:p>
    <w:p>
      <w:pPr>
        <w:pStyle w:val="Heading1"/>
      </w:pPr>
      <w:r>
        <w:t>Part VIII — Permissible Tension Escalation</w:t>
      </w:r>
    </w:p>
    <w:p>
      <w:r>
        <w:t>Creative cognition frequently requires increasing tension.</w:t>
      </w:r>
    </w:p>
    <w:p>
      <w:r>
        <w:t>dτ/dt &gt; 0</w:t>
      </w:r>
    </w:p>
    <w:p>
      <w:r>
        <w:t>However the escalation must remain within a bounded stability region.</w:t>
      </w:r>
    </w:p>
    <w:p>
      <w:r>
        <w:t>This region preserves structural coherence while allowing exploration.</w:t>
      </w:r>
    </w:p>
    <w:p>
      <w:pPr>
        <w:pStyle w:val="Heading1"/>
      </w:pPr>
      <w:r>
        <w:t>Part IX — Cross‑Modal Projection</w:t>
      </w:r>
    </w:p>
    <w:p>
      <w:r>
        <w:t>Symbolic structures can project across modalities.</w:t>
      </w:r>
    </w:p>
    <w:p>
      <w:r>
        <w:t>Ψ : A → X</w:t>
      </w:r>
    </w:p>
    <w:p>
      <w:r>
        <w:t>Examples:</w:t>
      </w:r>
    </w:p>
    <w:p>
      <w:r>
        <w:t>music → narrative rhythm</w:t>
        <w:br/>
        <w:t>geometry → visual composition</w:t>
        <w:br/>
        <w:t>mathematical symmetry → musical harmony</w:t>
      </w:r>
    </w:p>
    <w:p>
      <w:pPr>
        <w:pStyle w:val="Heading1"/>
      </w:pPr>
      <w:r>
        <w:t>Part X — SAC Cognitive Engine</w:t>
      </w:r>
    </w:p>
    <w:p>
      <w:r>
        <w:t>SAC cognition operates as an iterative process.</w:t>
      </w:r>
    </w:p>
    <w:p>
      <w:r>
        <w:t>Input Symbolic Structure</w:t>
        <w:br/>
        <w:t>↓</w:t>
        <w:br/>
        <w:t>Tension Evaluation</w:t>
        <w:br/>
        <w:t>↓</w:t>
        <w:br/>
        <w:t>Gradient Navigation</w:t>
        <w:br/>
        <w:t>↓</w:t>
        <w:br/>
        <w:t>Trajectory Adjustment</w:t>
        <w:br/>
        <w:t>↓</w:t>
        <w:br/>
        <w:t>Symbolic Generation</w:t>
      </w:r>
    </w:p>
    <w:p>
      <w:r>
        <w:t>This loop forms the operational mechanism of symbolic aesthetic cognition.</w:t>
      </w:r>
    </w:p>
    <w:p>
      <w:pPr>
        <w:pStyle w:val="Heading1"/>
      </w:pPr>
      <w:r>
        <w:t>Part XI — SAC vs Traditional AI</w:t>
      </w:r>
    </w:p>
    <w:p>
      <w:r>
        <w:t>Traditional AI often models cognition as optimization over predefined objective functions.</w:t>
      </w:r>
    </w:p>
    <w:p>
      <w:r>
        <w:t>SAC proposes an alternative framing:</w:t>
      </w:r>
    </w:p>
    <w:p>
      <w:r>
        <w:t>cognition = trajectory through symbolic tension fields.</w:t>
      </w:r>
    </w:p>
    <w:p>
      <w:r>
        <w:t>Rather than purely minimizing error, cognition navigates evolving tension landscapes.</w:t>
      </w:r>
    </w:p>
    <w:p>
      <w:pPr>
        <w:pStyle w:val="Heading1"/>
      </w:pPr>
      <w:r>
        <w:t>Part XII — Implications for AGI</w:t>
      </w:r>
    </w:p>
    <w:p>
      <w:r>
        <w:t>If cognition operates through tension‑guided symbolic motion, AGI systems must model:</w:t>
      </w:r>
    </w:p>
    <w:p>
      <w:r>
        <w:t>symbolic structure spaces</w:t>
        <w:br/>
        <w:t>tension field evaluation</w:t>
        <w:br/>
        <w:t>trajectory generation</w:t>
        <w:br/>
        <w:t>attractor formation</w:t>
      </w:r>
    </w:p>
    <w:p>
      <w:r>
        <w:t>This implies architectures beyond static inference models.</w:t>
      </w:r>
    </w:p>
    <w:p>
      <w:pPr>
        <w:pStyle w:val="Heading1"/>
      </w:pPr>
      <w:r>
        <w:t>Part XIII — System Layers</w:t>
      </w:r>
    </w:p>
    <w:p>
      <w:r>
        <w:t>SAC 1.0 — Closed Tension Field</w:t>
        <w:br/>
        <w:t>τ = τ_struct</w:t>
      </w:r>
    </w:p>
    <w:p>
      <w:r>
        <w:t>SAC 1.x — Symbolic Aesthetic Cognition Framework</w:t>
      </w:r>
    </w:p>
    <w:p>
      <w:r>
        <w:t>SAC 2.0 — Open Tension Field Architecture</w:t>
        <w:br/>
        <w:t>τ = τ_struct + τ_context + τ_path</w:t>
      </w:r>
    </w:p>
    <w:p>
      <w:pPr>
        <w:pStyle w:val="Heading1"/>
      </w:pPr>
      <w:r>
        <w:t>Conclusion</w:t>
      </w:r>
    </w:p>
    <w:p>
      <w:r>
        <w:t>SAC reframes cognition as movement through symbolic tension landscapes.</w:t>
      </w:r>
    </w:p>
    <w:p>
      <w:r>
        <w:t>Understanding emerges when trajectories reach attractors.</w:t>
        <w:br/>
        <w:t>Creativity emerges when trajectories explore high‑curvature regions.</w:t>
        <w:br/>
        <w:t>Learning corresponds to reshaping the tension field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