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Symbolic Aesthetic Cognition (SAC) — Theory Book v3 (Integrated System)</w:t>
      </w:r>
    </w:p>
    <w:p>
      <w:pPr>
        <w:pStyle w:val="Heading1"/>
      </w:pPr>
      <w:r>
        <w:t>Preface — Toward an Integrated Cognitive Architecture</w:t>
      </w:r>
    </w:p>
    <w:p>
      <w:r>
        <w:t>Symbolic Aesthetic Cognition (SAC) proposes that cognition is best understood as motion within symbolic structures governed by tension fields.</w:t>
        <w:br/>
        <w:t>Earlier formulations defined symbolic space, tension fields, and cognitive dynamics.</w:t>
      </w:r>
    </w:p>
    <w:p>
      <w:r>
        <w:t>This volume integrates three additional structural components:</w:t>
      </w:r>
    </w:p>
    <w:p>
      <w:r>
        <w:t>PATH — trajectory navigation theory</w:t>
        <w:br/>
        <w:t>Lihuo Layer — high-dimensional decision space</w:t>
        <w:br/>
        <w:t>Civilizational Archive — cross‑temporal structural persistence</w:t>
      </w:r>
    </w:p>
    <w:p>
      <w:r>
        <w:t>Together these components extend SAC from a cognitive model into a broader architecture for intelligence.</w:t>
      </w:r>
    </w:p>
    <w:p>
      <w:pPr>
        <w:pStyle w:val="Heading1"/>
      </w:pPr>
      <w:r>
        <w:t>Part I — Symbolic Space</w:t>
      </w:r>
    </w:p>
    <w:p>
      <w:r>
        <w:t>Let S denote a symbolic configuration.</w:t>
      </w:r>
    </w:p>
    <w:p>
      <w:r>
        <w:t>S ∈ 𝒮</w:t>
      </w:r>
    </w:p>
    <w:p>
      <w:r>
        <w:t>The symbolic space 𝒮 includes language, mathematics, music, visual structure, narrative form, and other representational systems.</w:t>
      </w:r>
    </w:p>
    <w:p>
      <w:r>
        <w:t>Symbolic structures exist as relational graphs rather than isolated tokens.</w:t>
      </w:r>
    </w:p>
    <w:p>
      <w:pPr>
        <w:pStyle w:val="Heading1"/>
      </w:pPr>
      <w:r>
        <w:t>Part II — Tension Field</w:t>
      </w:r>
    </w:p>
    <w:p>
      <w:r>
        <w:t>A symbolic configuration generates tension defined by:</w:t>
      </w:r>
    </w:p>
    <w:p>
      <w:r>
        <w:t>τ : S → ℝ</w:t>
      </w:r>
    </w:p>
    <w:p>
      <w:r>
        <w:t>Tension reflects imbalance, expectation deviation, or incomplete structural closure.</w:t>
      </w:r>
    </w:p>
    <w:p>
      <w:r>
        <w:t>The tension field forms the landscape across which cognition moves.</w:t>
      </w:r>
    </w:p>
    <w:p>
      <w:pPr>
        <w:pStyle w:val="Heading1"/>
      </w:pPr>
      <w:r>
        <w:t>Part III — Cognitive Dynamics</w:t>
      </w:r>
    </w:p>
    <w:p>
      <w:r>
        <w:t>Cognitive motion follows gradients within the tension field.</w:t>
      </w:r>
    </w:p>
    <w:p>
      <w:r>
        <w:t>dS/dt = -∇τ</w:t>
      </w:r>
    </w:p>
    <w:p>
      <w:r>
        <w:t>Symbolic states evolve through gradient navigation rather than discrete logical steps.</w:t>
      </w:r>
    </w:p>
    <w:p>
      <w:pPr>
        <w:pStyle w:val="Heading1"/>
      </w:pPr>
      <w:r>
        <w:t>Part IV — Attractor States</w:t>
      </w:r>
    </w:p>
    <w:p>
      <w:r>
        <w:t>Stable structures exist when:</w:t>
      </w:r>
    </w:p>
    <w:p>
      <w:r>
        <w:t>∇τ = 0</w:t>
      </w:r>
    </w:p>
    <w:p>
      <w:r>
        <w:t>These attractors correspond to resolution states such as conceptual understanding,</w:t>
        <w:br/>
        <w:t>harmonic closure, or completion of a reasoning sequence.</w:t>
      </w:r>
    </w:p>
    <w:p>
      <w:pPr>
        <w:pStyle w:val="Heading1"/>
      </w:pPr>
      <w:r>
        <w:t>Part V — PATH Theory</w:t>
      </w:r>
    </w:p>
    <w:p>
      <w:r>
        <w:t>PATH theory describes how cognitive trajectories are selected within symbolic space.</w:t>
      </w:r>
    </w:p>
    <w:p>
      <w:r>
        <w:t>Instead of selecting a single optimal point, cognition follows structured paths</w:t>
        <w:br/>
        <w:t>that maintain coherent tension evolution.</w:t>
      </w:r>
    </w:p>
    <w:p>
      <w:r>
        <w:t>PATH emphasizes trajectory stability, continuity, and exploratory branching.</w:t>
      </w:r>
    </w:p>
    <w:p>
      <w:pPr>
        <w:pStyle w:val="Heading1"/>
      </w:pPr>
      <w:r>
        <w:t>Part VI — Curvature and Discovery</w:t>
      </w:r>
    </w:p>
    <w:p>
      <w:r>
        <w:t>Cognitive discovery occurs in high curvature regions of symbolic space.</w:t>
      </w:r>
    </w:p>
    <w:p>
      <w:r>
        <w:t>κ = d²S/dt²</w:t>
      </w:r>
    </w:p>
    <w:p>
      <w:r>
        <w:t>These regions correspond to conceptual transitions where symbolic relations reorganize rapidly.</w:t>
      </w:r>
    </w:p>
    <w:p>
      <w:pPr>
        <w:pStyle w:val="Heading1"/>
      </w:pPr>
      <w:r>
        <w:t>Part VII — Lihuo Layer</w:t>
      </w:r>
    </w:p>
    <w:p>
      <w:r>
        <w:t>The Lihuo Layer represents a higher-dimensional space in which symbolic structures themselves become manipulable objects.</w:t>
      </w:r>
    </w:p>
    <w:p>
      <w:r>
        <w:t>In this layer, cognitive systems can:</w:t>
      </w:r>
    </w:p>
    <w:p>
      <w:r>
        <w:t>reconfigure symbolic architectures</w:t>
        <w:br/>
        <w:t>recombine reasoning paths</w:t>
        <w:br/>
        <w:t>generate alternative structural topologies</w:t>
      </w:r>
    </w:p>
    <w:p>
      <w:r>
        <w:t>The Lihuo Layer operates as a meta‑decision field above ordinary symbolic navigation.</w:t>
      </w:r>
    </w:p>
    <w:p>
      <w:pPr>
        <w:pStyle w:val="Heading1"/>
      </w:pPr>
      <w:r>
        <w:t>Part VIII — SAC Engine</w:t>
      </w:r>
    </w:p>
    <w:p>
      <w:r>
        <w:t>The SAC Engine implements symbolic cognition through a continuous cycle:</w:t>
      </w:r>
    </w:p>
    <w:p>
      <w:r>
        <w:t>Input Structure</w:t>
        <w:br/>
        <w:t>↓</w:t>
        <w:br/>
        <w:t>Tension Evaluation</w:t>
        <w:br/>
        <w:t>↓</w:t>
        <w:br/>
        <w:t>PATH Navigation</w:t>
        <w:br/>
        <w:t>↓</w:t>
        <w:br/>
        <w:t>Trajectory Adjustment</w:t>
        <w:br/>
        <w:t>↓</w:t>
        <w:br/>
        <w:t>Symbolic Generation</w:t>
      </w:r>
    </w:p>
    <w:p>
      <w:r>
        <w:t>This loop forms the operational mechanism for symbolic intelligence.</w:t>
      </w:r>
    </w:p>
    <w:p>
      <w:pPr>
        <w:pStyle w:val="Heading1"/>
      </w:pPr>
      <w:r>
        <w:t>Part IX — Civilizational Archive</w:t>
      </w:r>
    </w:p>
    <w:p>
      <w:r>
        <w:t>Civilizational Archive describes the preservation of structural knowledge beyond individual memory.</w:t>
      </w:r>
    </w:p>
    <w:p>
      <w:r>
        <w:t>Rather than storing raw data, the archive stores structural patterns capable of being re‑instantiated across time.</w:t>
      </w:r>
    </w:p>
    <w:p>
      <w:r>
        <w:t>This mechanism enables cross‑temporal recurrence of symbolic systems.</w:t>
      </w:r>
    </w:p>
    <w:p>
      <w:pPr>
        <w:pStyle w:val="Heading1"/>
      </w:pPr>
      <w:r>
        <w:t>Part X — AGI Implications</w:t>
      </w:r>
    </w:p>
    <w:p>
      <w:r>
        <w:t>If cognition is tension‑guided symbolic navigation, artificial intelligence must incorporate:</w:t>
      </w:r>
    </w:p>
    <w:p>
      <w:r>
        <w:t>symbolic structure representation</w:t>
        <w:br/>
        <w:t>tension field modeling</w:t>
        <w:br/>
        <w:t>trajectory generation</w:t>
        <w:br/>
        <w:t>meta‑layer structural manipulation</w:t>
      </w:r>
    </w:p>
    <w:p>
      <w:r>
        <w:t>These capabilities extend beyond conventional language models.</w:t>
      </w:r>
    </w:p>
    <w:p>
      <w:pPr>
        <w:pStyle w:val="Heading1"/>
      </w:pPr>
      <w:r>
        <w:t>Conclusion — Toward Symbolic Field Intelligence</w:t>
      </w:r>
    </w:p>
    <w:p>
      <w:r>
        <w:t>SAC reframes intelligence as dynamic navigation within symbolic tension landscapes.</w:t>
      </w:r>
    </w:p>
    <w:p>
      <w:r>
        <w:t>By integrating PATH theory, the Lihuo Layer, and Civilizational Archive mechanisms,</w:t>
        <w:br/>
        <w:t>SAC becomes a candidate architecture for general symbolic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