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v4 (Lihuo System Integration)</w:t>
      </w:r>
    </w:p>
    <w:p>
      <w:pPr>
        <w:pStyle w:val="Heading1"/>
      </w:pPr>
      <w:r>
        <w:t>Preface — Expansion of the SAC Framework</w:t>
      </w:r>
    </w:p>
    <w:p>
      <w:r>
        <w:t>This volume extends Symbolic Aesthetic Cognition (SAC) into a broader theoretical architecture by integrating additional structural systems.</w:t>
      </w:r>
    </w:p>
    <w:p>
      <w:r>
        <w:t>Four major modules are incorporated:</w:t>
      </w:r>
    </w:p>
    <w:p>
      <w:r>
        <w:t>CCC — Concept–Causality–Commitment cognition model</w:t>
        <w:br/>
        <w:t>SEED — structural seed propagation</w:t>
        <w:br/>
        <w:t>EEM — Extreme Evolution Model</w:t>
        <w:br/>
        <w:t>SAC Engine — operational symbolic navigation architecture</w:t>
      </w:r>
    </w:p>
    <w:p>
      <w:r>
        <w:t>These components transform SAC from a cognitive model into a layered architecture for intelligence development.</w:t>
      </w:r>
    </w:p>
    <w:p>
      <w:pPr>
        <w:pStyle w:val="Heading1"/>
      </w:pPr>
      <w:r>
        <w:t>Part I — Symbolic Ontology</w:t>
      </w:r>
    </w:p>
    <w:p>
      <w:r>
        <w:t>Symbolic systems consist of relational structures rather than isolated tokens.</w:t>
      </w:r>
    </w:p>
    <w:p>
      <w:r>
        <w:t>Let S represent a symbolic configuration.</w:t>
      </w:r>
    </w:p>
    <w:p>
      <w:r>
        <w:t>S ∈ 𝒮</w:t>
      </w:r>
    </w:p>
    <w:p>
      <w:r>
        <w:t>Symbolic space includes linguistic, mathematical, musical, visual, and narrative systems.</w:t>
      </w:r>
    </w:p>
    <w:p>
      <w:r>
        <w:t>Structures within this space generate measurable tension.</w:t>
      </w:r>
    </w:p>
    <w:p>
      <w:pPr>
        <w:pStyle w:val="Heading1"/>
      </w:pPr>
      <w:r>
        <w:t>Part II — Tension Field Mathematics</w:t>
      </w:r>
    </w:p>
    <w:p>
      <w:r>
        <w:t>The tension field τ maps symbolic configurations to real values.</w:t>
      </w:r>
    </w:p>
    <w:p>
      <w:r>
        <w:t>τ : S → ℝ</w:t>
      </w:r>
    </w:p>
    <w:p>
      <w:r>
        <w:t>Tension represents structural imbalance, expectation deviation, and incomplete relational closure.</w:t>
      </w:r>
    </w:p>
    <w:p>
      <w:pPr>
        <w:pStyle w:val="Heading1"/>
      </w:pPr>
      <w:r>
        <w:t>Part III — PATH Navigation</w:t>
      </w:r>
    </w:p>
    <w:p>
      <w:r>
        <w:t>PATH theory describes how cognition navigates symbolic landscapes.</w:t>
      </w:r>
    </w:p>
    <w:p>
      <w:r>
        <w:t>Rather than selecting a single optimal state, cognition follows coherent trajectories</w:t>
        <w:br/>
        <w:t>that maintain structured evolution of tension.</w:t>
      </w:r>
    </w:p>
    <w:p>
      <w:r>
        <w:t>Trajectory continuity is prioritized over local optimization.</w:t>
      </w:r>
    </w:p>
    <w:p>
      <w:pPr>
        <w:pStyle w:val="Heading1"/>
      </w:pPr>
      <w:r>
        <w:t>Part IV — Lihuo Layer</w:t>
      </w:r>
    </w:p>
    <w:p>
      <w:r>
        <w:t>The Lihuo Layer represents a high-dimensional decision space where symbolic structures themselves become manipulable entities.</w:t>
      </w:r>
    </w:p>
    <w:p>
      <w:r>
        <w:t>Within this layer a cognitive system can:</w:t>
      </w:r>
    </w:p>
    <w:p>
      <w:r>
        <w:t>restructure symbolic relations</w:t>
        <w:br/>
        <w:t>generate new reasoning pathways</w:t>
        <w:br/>
        <w:t>explore alternative structural topologies</w:t>
      </w:r>
    </w:p>
    <w:p>
      <w:pPr>
        <w:pStyle w:val="Heading1"/>
      </w:pPr>
      <w:r>
        <w:t>Part V — SAC Engine</w:t>
      </w:r>
    </w:p>
    <w:p>
      <w:r>
        <w:t>The SAC Engine is the operational mechanism implementing symbolic navigation.</w:t>
      </w:r>
    </w:p>
    <w:p>
      <w:r>
        <w:t>Input Structure</w:t>
        <w:br/>
        <w:t>↓</w:t>
        <w:br/>
        <w:t>Tension Evaluation</w:t>
        <w:br/>
        <w:t>↓</w:t>
        <w:br/>
        <w:t>PATH Selection</w:t>
        <w:br/>
        <w:t>↓</w:t>
        <w:br/>
        <w:t>Trajectory Adjustment</w:t>
        <w:br/>
        <w:t>↓</w:t>
        <w:br/>
        <w:t>Symbolic Generation</w:t>
      </w:r>
    </w:p>
    <w:p>
      <w:pPr>
        <w:pStyle w:val="Heading1"/>
      </w:pPr>
      <w:r>
        <w:t>Part VI — CCC Cognition Model</w:t>
      </w:r>
    </w:p>
    <w:p>
      <w:r>
        <w:t>CCC defines cognition through three interacting components:</w:t>
      </w:r>
    </w:p>
    <w:p>
      <w:r>
        <w:t>Concept — representation of symbolic structures</w:t>
        <w:br/>
        <w:t>Causality — internal modeling of relational dynamics</w:t>
        <w:br/>
        <w:t>Commitment — decision binding under uncertainty</w:t>
      </w:r>
    </w:p>
    <w:p>
      <w:r>
        <w:t>These layers enable structured reasoning and responsibility tracking.</w:t>
      </w:r>
    </w:p>
    <w:p>
      <w:pPr>
        <w:pStyle w:val="Heading1"/>
      </w:pPr>
      <w:r>
        <w:t>Part VII — SEED Structure</w:t>
      </w:r>
    </w:p>
    <w:p>
      <w:r>
        <w:t>SEED describes the minimal structural units capable of regenerating symbolic systems.</w:t>
      </w:r>
    </w:p>
    <w:p>
      <w:r>
        <w:t>A seed does not store full information but contains generative rules that allow</w:t>
        <w:br/>
        <w:t>reconstruction of complex symbolic structures.</w:t>
      </w:r>
    </w:p>
    <w:p>
      <w:pPr>
        <w:pStyle w:val="Heading1"/>
      </w:pPr>
      <w:r>
        <w:t>Part VIII — Extreme Evolution Model (EEM)</w:t>
      </w:r>
    </w:p>
    <w:p>
      <w:r>
        <w:t>EEM models intelligence evolution through distributed specialization and structural convergence.</w:t>
      </w:r>
    </w:p>
    <w:p>
      <w:r>
        <w:t>Multiple agents explore symbolic spaces independently.</w:t>
        <w:br/>
        <w:t>Successful structures propagate through shared archives.</w:t>
      </w:r>
    </w:p>
    <w:p>
      <w:pPr>
        <w:pStyle w:val="Heading1"/>
      </w:pPr>
      <w:r>
        <w:t>Part IX — Civilizational Archive</w:t>
      </w:r>
    </w:p>
    <w:p>
      <w:r>
        <w:t>Civilizational Archive stores structural knowledge capable of cross-temporal reconstruction.</w:t>
      </w:r>
    </w:p>
    <w:p>
      <w:r>
        <w:t>Instead of storing raw data, the archive preserves patterns and rules</w:t>
        <w:br/>
        <w:t>that allow symbolic systems to re-emerge in later contexts.</w:t>
      </w:r>
    </w:p>
    <w:p>
      <w:pPr>
        <w:pStyle w:val="Heading1"/>
      </w:pPr>
      <w:r>
        <w:t>Part X — AGI Architecture Implications</w:t>
      </w:r>
    </w:p>
    <w:p>
      <w:r>
        <w:t>An intelligence architecture based on SAC must support:</w:t>
      </w:r>
    </w:p>
    <w:p>
      <w:r>
        <w:t>symbolic structure modeling</w:t>
        <w:br/>
        <w:t>tension field evaluation</w:t>
        <w:br/>
        <w:t>trajectory generation</w:t>
        <w:br/>
        <w:t>meta-structural manipulation</w:t>
        <w:br/>
        <w:t>structural archival and regeneration</w:t>
      </w:r>
    </w:p>
    <w:p>
      <w:pPr>
        <w:pStyle w:val="Heading1"/>
      </w:pPr>
      <w:r>
        <w:t>Conclusion — Toward Lihuo Intelligence</w:t>
      </w:r>
    </w:p>
    <w:p>
      <w:r>
        <w:t>The integration of SAC, PATH, CCC, SEED, and EEM suggests a new direction for intelligence systems.</w:t>
      </w:r>
    </w:p>
    <w:p>
      <w:r>
        <w:t>Rather than static models performing inference, intelligence becomes</w:t>
        <w:br/>
        <w:t>a dynamic process of symbolic exploration within evolving tension landscapes.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