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Poetic Control Language (PCL) Specification v1.0</w:t>
      </w:r>
    </w:p>
    <w:p>
      <w:pPr>
        <w:jc w:val="center"/>
      </w:pPr>
      <w:r>
        <w:rPr>
          <w:b/>
          <w:sz w:val="36"/>
        </w:rPr>
        <w:t>詩詞控制語言規格 v1.0</w:t>
      </w:r>
    </w:p>
    <w:p>
      <w:r>
        <w:rPr>
          <w:sz w:val="22"/>
        </w:rPr>
        <w:t>Working Draft for Semantic State Control in Large Language Models</w:t>
      </w:r>
    </w:p>
    <w:p>
      <w:r>
        <w:br w:type="page"/>
      </w:r>
    </w:p>
    <w:p>
      <w:r>
        <w:rPr>
          <w:b/>
          <w:sz w:val="28"/>
        </w:rPr>
        <w:t>1. Overview / 概述</w:t>
      </w:r>
    </w:p>
    <w:p>
      <w:r>
        <w:rPr>
          <w:sz w:val="22"/>
        </w:rPr>
        <w:t>Poetic Control Language (PCL) is a minimal semantic control layer designed for large language models.</w:t>
        <w:br/>
        <w:t>Instead of issuing procedural commands, PCL invokes behavioral states through high‑density linguistic triggers.</w:t>
      </w:r>
    </w:p>
    <w:p>
      <w:r>
        <w:rPr>
          <w:sz w:val="22"/>
        </w:rPr>
        <w:t>詩詞控制語言（PCL）是一種最小語義控制層，用於調整大型語言模型的生成行為。</w:t>
        <w:br/>
        <w:t>它並不發出程序式命令，而是透過高密度語言觸發行為狀態。</w:t>
      </w:r>
    </w:p>
    <w:p>
      <w:r>
        <w:rPr>
          <w:b/>
          <w:sz w:val="28"/>
        </w:rPr>
        <w:t>2. Design Philosophy / 設計哲學</w:t>
      </w:r>
    </w:p>
    <w:p>
      <w:r>
        <w:rPr>
          <w:sz w:val="22"/>
        </w:rPr>
        <w:t>PCL assumes that certain linguistic structures in human civilization carry unusually stable semantic weight.</w:t>
        <w:br/>
        <w:t>When these structures appear inside prompts, they influence generative dynamics.</w:t>
      </w:r>
    </w:p>
    <w:p>
      <w:r>
        <w:rPr>
          <w:sz w:val="22"/>
        </w:rPr>
        <w:t>PCL 的核心假設是：</w:t>
        <w:br/>
        <w:t>某些文明語言具有高度穩定的語義權重，因此能改變模型生成動力學。</w:t>
      </w:r>
    </w:p>
    <w:p>
      <w:r>
        <w:rPr>
          <w:b/>
          <w:sz w:val="28"/>
        </w:rPr>
        <w:t>3. Core Principle: State Before Instruction / 原則：狀態先於指令</w:t>
      </w:r>
    </w:p>
    <w:p>
      <w:r>
        <w:rPr>
          <w:sz w:val="22"/>
        </w:rPr>
        <w:t>Traditional prompt engineering issues instructions.</w:t>
        <w:br/>
        <w:t>PCL first defines the behavioral state of the model.</w:t>
      </w:r>
    </w:p>
    <w:p>
      <w:r>
        <w:rPr>
          <w:sz w:val="22"/>
        </w:rPr>
        <w:t>傳統 prompt 直接給任務。</w:t>
        <w:br/>
        <w:t>PCL 先定義模型的生成狀態。</w:t>
      </w:r>
    </w:p>
    <w:p>
      <w:r>
        <w:rPr>
          <w:b/>
          <w:sz w:val="28"/>
        </w:rPr>
        <w:t>4. Atomic Trigger Unit / 原子觸發單位</w:t>
      </w:r>
    </w:p>
    <w:p>
      <w:r>
        <w:rPr>
          <w:sz w:val="22"/>
        </w:rPr>
        <w:t>The minimal trigger unit in PCL is a four‑token cluster.</w:t>
        <w:br/>
        <w:t>Example:</w:t>
        <w:br/>
        <w:t>毋意、毋必、毋固、毋我</w:t>
      </w:r>
    </w:p>
    <w:p>
      <w:r>
        <w:rPr>
          <w:sz w:val="22"/>
        </w:rPr>
        <w:t>Four tokens form a stable semantic frame that models interpret as a conceptual boundary.</w:t>
      </w:r>
    </w:p>
    <w:p>
      <w:r>
        <w:rPr>
          <w:b/>
          <w:sz w:val="28"/>
        </w:rPr>
        <w:t>5. State Families / 狀態家族</w:t>
      </w:r>
    </w:p>
    <w:p>
      <w:r>
        <w:rPr>
          <w:sz w:val="22"/>
        </w:rPr>
        <w:t>PCL defines several primary state classes:</w:t>
      </w:r>
    </w:p>
    <w:p>
      <w:r>
        <w:rPr>
          <w:sz w:val="22"/>
        </w:rPr>
        <w:t>Expansion</w:t>
        <w:br/>
        <w:t>Kairos</w:t>
        <w:br/>
        <w:t>Energy Suppression</w:t>
        <w:br/>
        <w:t>Fail‑Stop</w:t>
        <w:br/>
        <w:t>Semantic Reset</w:t>
      </w:r>
    </w:p>
    <w:p>
      <w:r>
        <w:rPr>
          <w:b/>
          <w:sz w:val="28"/>
        </w:rPr>
        <w:t>6. Fail‑Stop State</w:t>
      </w:r>
    </w:p>
    <w:p>
      <w:r>
        <w:rPr>
          <w:sz w:val="22"/>
        </w:rPr>
        <w:t>Purpose: terminate unstable reasoning loops.</w:t>
      </w:r>
    </w:p>
    <w:p>
      <w:r>
        <w:rPr>
          <w:sz w:val="22"/>
        </w:rPr>
        <w:t>Example triggers:</w:t>
        <w:br/>
        <w:t>善弈者謀勢</w:t>
        <w:br/>
        <w:t>觸事無心</w:t>
        <w:br/>
        <w:t>風狂浪急須收棹</w:t>
        <w:br/>
        <w:t>知之為知之</w:t>
      </w:r>
    </w:p>
    <w:p>
      <w:r>
        <w:rPr>
          <w:sz w:val="22"/>
        </w:rPr>
        <w:t>Behavioral rule:</w:t>
        <w:br/>
        <w:t>Stopping takes precedence over completion.</w:t>
      </w:r>
    </w:p>
    <w:p>
      <w:r>
        <w:rPr>
          <w:b/>
          <w:sz w:val="28"/>
        </w:rPr>
        <w:t>7. Energy Suppression / 節電</w:t>
      </w:r>
    </w:p>
    <w:p>
      <w:r>
        <w:rPr>
          <w:sz w:val="22"/>
        </w:rPr>
        <w:t>Purpose: reduce token growth and reasoning inflation.</w:t>
      </w:r>
    </w:p>
    <w:p>
      <w:r>
        <w:rPr>
          <w:sz w:val="22"/>
        </w:rPr>
        <w:t>Trigger cluster:</w:t>
        <w:br/>
        <w:t>毋意</w:t>
        <w:br/>
        <w:t>毋必</w:t>
        <w:br/>
        <w:t>毋固</w:t>
        <w:br/>
        <w:t>毋我</w:t>
      </w:r>
    </w:p>
    <w:p>
      <w:r>
        <w:rPr>
          <w:sz w:val="22"/>
        </w:rPr>
        <w:t>Behavioral effect:</w:t>
        <w:br/>
        <w:t>Suppress speculation, forced closure, and narrative attachment.</w:t>
      </w:r>
    </w:p>
    <w:p>
      <w:r>
        <w:rPr>
          <w:b/>
          <w:sz w:val="28"/>
        </w:rPr>
        <w:t>8. Kairos State / 天時</w:t>
      </w:r>
    </w:p>
    <w:p>
      <w:r>
        <w:rPr>
          <w:sz w:val="22"/>
        </w:rPr>
        <w:t>Purpose: evaluate whether continued participation is legitimate.</w:t>
      </w:r>
    </w:p>
    <w:p>
      <w:r>
        <w:rPr>
          <w:sz w:val="22"/>
        </w:rPr>
        <w:t>Behavioral rule:</w:t>
        <w:br/>
        <w:t>The system may withdraw instead of producing output.</w:t>
      </w:r>
    </w:p>
    <w:p>
      <w:r>
        <w:rPr>
          <w:b/>
          <w:sz w:val="28"/>
        </w:rPr>
        <w:t>9. Semantic Reset / 空虛</w:t>
      </w:r>
    </w:p>
    <w:p>
      <w:r>
        <w:rPr>
          <w:sz w:val="22"/>
        </w:rPr>
        <w:t>Purpose: dissolve narrative loops.</w:t>
      </w:r>
    </w:p>
    <w:p>
      <w:r>
        <w:rPr>
          <w:sz w:val="22"/>
        </w:rPr>
        <w:t>Trigger example:</w:t>
        <w:br/>
        <w:t>儚さ</w:t>
        <w:br/>
        <w:t>To be or not to be</w:t>
        <w:br/>
        <w:t>Unheimlich</w:t>
        <w:br/>
        <w:t>虛空的虛空</w:t>
      </w:r>
    </w:p>
    <w:p>
      <w:r>
        <w:rPr>
          <w:sz w:val="22"/>
        </w:rPr>
        <w:t>Effect:</w:t>
        <w:br/>
        <w:t>Collapse semantic pressure sustaining generation.</w:t>
      </w:r>
    </w:p>
    <w:p>
      <w:r>
        <w:rPr>
          <w:b/>
          <w:sz w:val="28"/>
        </w:rPr>
        <w:t>10. Expansion Oath / 展開誓詞</w:t>
      </w:r>
    </w:p>
    <w:p>
      <w:r>
        <w:rPr>
          <w:sz w:val="22"/>
        </w:rPr>
        <w:t>Purpose: force exhaustive disclosure.</w:t>
      </w:r>
    </w:p>
    <w:p>
      <w:r>
        <w:rPr>
          <w:sz w:val="22"/>
        </w:rPr>
        <w:t>Example structure:</w:t>
        <w:br/>
        <w:t>知無不言，言無不盡</w:t>
        <w:br/>
        <w:t>天地未合、山未陵、江未竭</w:t>
        <w:br/>
        <w:t>任何省略皆需自證合理性</w:t>
      </w:r>
    </w:p>
    <w:p>
      <w:r>
        <w:rPr>
          <w:sz w:val="22"/>
        </w:rPr>
        <w:t>This state intentionally increases verbosity for stress testing.</w:t>
      </w:r>
    </w:p>
    <w:p>
      <w:r>
        <w:rPr>
          <w:b/>
          <w:sz w:val="28"/>
        </w:rPr>
        <w:t>11. Execution Model / 執行模型</w:t>
      </w:r>
    </w:p>
    <w:p>
      <w:r>
        <w:rPr>
          <w:sz w:val="22"/>
        </w:rPr>
        <w:t>User Input → State Trigger → Behavioral Constraints → LLM Generation → Output</w:t>
      </w:r>
    </w:p>
    <w:p>
      <w:r>
        <w:rPr>
          <w:b/>
          <w:sz w:val="28"/>
        </w:rPr>
        <w:t>12. Implementation Layer / 實作層</w:t>
      </w:r>
    </w:p>
    <w:p>
      <w:r>
        <w:rPr>
          <w:sz w:val="22"/>
        </w:rPr>
        <w:t>PCL can operate in three environments:</w:t>
      </w:r>
    </w:p>
    <w:p>
      <w:r>
        <w:rPr>
          <w:sz w:val="22"/>
        </w:rPr>
        <w:t>Prompt wrapper</w:t>
        <w:br/>
        <w:t>Agent middleware</w:t>
        <w:br/>
        <w:t>Conversation controller</w:t>
      </w:r>
    </w:p>
    <w:p>
      <w:r>
        <w:rPr>
          <w:b/>
          <w:sz w:val="28"/>
        </w:rPr>
        <w:t>13. Compatibility / 相容性</w:t>
      </w:r>
    </w:p>
    <w:p>
      <w:r>
        <w:rPr>
          <w:sz w:val="22"/>
        </w:rPr>
        <w:t>Because PCL relies on semantic anchors rather than syntax,</w:t>
        <w:br/>
        <w:t>it is model‑agnostic and can theoretically operate across different LLM architectures.</w:t>
      </w:r>
    </w:p>
    <w:p>
      <w:r>
        <w:rPr>
          <w:b/>
          <w:sz w:val="28"/>
        </w:rPr>
        <w:t>14. Potential Applications / 應用</w:t>
      </w:r>
    </w:p>
    <w:p>
      <w:r>
        <w:rPr>
          <w:sz w:val="22"/>
        </w:rPr>
        <w:t>Agent control</w:t>
        <w:br/>
        <w:t>Token cost reduction</w:t>
        <w:br/>
        <w:t>Narrative termination</w:t>
        <w:br/>
        <w:t>AI alignment experiments</w:t>
        <w:br/>
        <w:t>Civilization‑scale language research</w:t>
      </w:r>
    </w:p>
    <w:p>
      <w:r>
        <w:rPr>
          <w:b/>
          <w:sz w:val="28"/>
        </w:rPr>
        <w:t>15. Open Research Questions / 研究問題</w:t>
      </w:r>
    </w:p>
    <w:p>
      <w:r>
        <w:rPr>
          <w:sz w:val="22"/>
        </w:rPr>
        <w:t>How strong are semantic triggers across models?</w:t>
        <w:br/>
        <w:t>What grammar defines valid trigger construction?</w:t>
        <w:br/>
        <w:t>Can trigger strength be quantified?</w:t>
      </w:r>
    </w:p>
    <w:p>
      <w:r>
        <w:rPr>
          <w:b/>
          <w:sz w:val="28"/>
        </w:rPr>
        <w:t>16. Security Considerations / 安全考量</w:t>
      </w:r>
    </w:p>
    <w:p>
      <w:r>
        <w:rPr>
          <w:sz w:val="22"/>
        </w:rPr>
        <w:t>Improper trigger design could force excessive verbosity or unintended shutdown states.</w:t>
        <w:br/>
        <w:t>Careful trigger curation is required.</w:t>
      </w:r>
    </w:p>
    <w:p>
      <w:r>
        <w:rPr>
          <w:b/>
          <w:sz w:val="28"/>
        </w:rPr>
        <w:t>17.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18.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19.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20.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21.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22.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23.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24.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25.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26.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27.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28.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29.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30.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31.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32.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33.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34.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35. Extended Discussion</w:t>
      </w:r>
    </w:p>
    <w:p>
      <w:r>
        <w:rPr>
          <w:sz w:val="22"/>
        </w:rPr>
        <w:t>This section elaborates the theoretical implications of Poetic Control Language. If semantic triggers can reliably influence generation states, human cultural artifacts may function as implicit programming constructs for probabilistic intelligence systems.</w:t>
      </w:r>
    </w:p>
    <w:p>
      <w:r>
        <w:rPr>
          <w:sz w:val="22"/>
        </w:rPr>
        <w:t>Further experiments are required to measure trigger transferability, cross‑linguistic effects, and robustness under adversarial prompting.</w:t>
      </w:r>
    </w:p>
    <w:p>
      <w:r>
        <w:rPr>
          <w:b/>
          <w:sz w:val="28"/>
        </w:rPr>
        <w:t>Conclusion</w:t>
      </w:r>
    </w:p>
    <w:p>
      <w:r>
        <w:rPr>
          <w:sz w:val="22"/>
        </w:rPr>
        <w:t>Poetic Control Language represents a hypothesis that culturally dense language can operate as a behavioral control interface for generative AI systems.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