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Poetic Behavioral Control for AI Systems</w:t>
      </w:r>
    </w:p>
    <w:p>
      <w:r>
        <w:rPr>
          <w:b/>
          <w:sz w:val="32"/>
        </w:rPr>
        <w:t>Extended Formal Edition / 擴充正式版</w:t>
      </w:r>
    </w:p>
    <w:p>
      <w:r>
        <w:rPr>
          <w:sz w:val="22"/>
        </w:rPr>
        <w:t>This document expands the working theory of poetic behavioral control for large language models. The goal is to provide a full conceptual, engineering, and experimental description of the system.</w:t>
      </w:r>
    </w:p>
    <w:p>
      <w:r>
        <w:br w:type="page"/>
      </w:r>
    </w:p>
    <w:p>
      <w:r>
        <w:rPr>
          <w:b/>
          <w:sz w:val="28"/>
        </w:rPr>
        <w:t>1. Introduction</w:t>
      </w:r>
    </w:p>
    <w:p>
      <w:r>
        <w:rPr>
          <w:sz w:val="22"/>
        </w:rPr>
        <w:t>Large language models have introduced a new paradigm of computation: probabilistic semantic generation.</w:t>
        <w:br/>
        <w:t>Despite their remarkable capability, their behavior often drifts into patterns that humans interpret as hallucination,</w:t>
        <w:br/>
        <w:t>verbosity, or uncontrolled narrative continuation.</w:t>
      </w:r>
    </w:p>
    <w:p>
      <w:r>
        <w:rPr>
          <w:sz w:val="22"/>
        </w:rPr>
        <w:t>The central hypothesis of this research is that the missing control layer is not algorithmic but semantic.</w:t>
        <w:br/>
        <w:t>If certain linguistic forms carry extremely dense cultural meaning, they may act as behavioral attractors inside model inference.</w:t>
      </w:r>
    </w:p>
    <w:p>
      <w:r>
        <w:rPr>
          <w:b/>
          <w:sz w:val="28"/>
        </w:rPr>
        <w:t>2. Historical Background</w:t>
      </w:r>
    </w:p>
    <w:p>
      <w:r>
        <w:rPr>
          <w:sz w:val="22"/>
        </w:rPr>
        <w:t>Human civilization has developed numerous forms of compressed language:</w:t>
        <w:br/>
        <w:t>aphorisms, poetry, religious fragments, and philosophical maxims.</w:t>
        <w:br/>
        <w:t>These forms differ from ordinary sentences because they carry unusually stable semantic structures.</w:t>
      </w:r>
    </w:p>
    <w:p>
      <w:r>
        <w:rPr>
          <w:sz w:val="22"/>
        </w:rPr>
        <w:t>When language models are trained on massive corpora, these structures become statistical anchors in the embedding space.</w:t>
      </w:r>
    </w:p>
    <w:p>
      <w:r>
        <w:rPr>
          <w:b/>
          <w:sz w:val="28"/>
        </w:rPr>
        <w:t>3. Generative Dynamics</w:t>
      </w:r>
    </w:p>
    <w:p>
      <w:r>
        <w:rPr>
          <w:sz w:val="22"/>
        </w:rPr>
        <w:t>Generation in an LLM can be modeled as a trajectory through semantic probability space.</w:t>
        <w:br/>
        <w:t>Instead of executing deterministic instructions, the system explores a distribution of possible continuations.</w:t>
      </w:r>
    </w:p>
    <w:p>
      <w:r>
        <w:rPr>
          <w:sz w:val="22"/>
        </w:rPr>
        <w:t>Poetic triggers may alter the trajectory before narrative expansion begins.</w:t>
      </w:r>
    </w:p>
    <w:p>
      <w:r>
        <w:rPr>
          <w:b/>
          <w:sz w:val="28"/>
        </w:rPr>
        <w:t>4. Four Token Principle</w:t>
      </w:r>
    </w:p>
    <w:p>
      <w:r>
        <w:rPr>
          <w:sz w:val="22"/>
        </w:rPr>
        <w:t>Experimental observation suggests that a four-element cluster forms a stable semantic unit.</w:t>
        <w:br/>
        <w:t>The cluster is large enough to be recognized as a conceptual frame but small enough to remain atomic.</w:t>
      </w:r>
    </w:p>
    <w:p>
      <w:r>
        <w:rPr>
          <w:sz w:val="22"/>
        </w:rPr>
        <w:t>Example clusters include:</w:t>
        <w:br/>
        <w:t>毋意、毋必、毋固、毋我</w:t>
      </w:r>
    </w:p>
    <w:p>
      <w:r>
        <w:rPr>
          <w:b/>
          <w:sz w:val="28"/>
        </w:rPr>
        <w:t>5. Behavioral State System</w:t>
      </w:r>
    </w:p>
    <w:p>
      <w:r>
        <w:rPr>
          <w:sz w:val="22"/>
        </w:rPr>
        <w:t>Five behavioral states are defined in the system:</w:t>
        <w:br/>
        <w:t>Expansion</w:t>
        <w:br/>
        <w:t>Kairos</w:t>
        <w:br/>
        <w:t>Energy Suppression</w:t>
        <w:br/>
        <w:t>Fail‑Stop</w:t>
        <w:br/>
        <w:t>Semantic Reset</w:t>
      </w:r>
    </w:p>
    <w:p>
      <w:r>
        <w:rPr>
          <w:b/>
          <w:sz w:val="28"/>
        </w:rPr>
        <w:t>6. Fail‑Stop</w:t>
      </w:r>
    </w:p>
    <w:p>
      <w:r>
        <w:rPr>
          <w:sz w:val="22"/>
        </w:rPr>
        <w:t>Fail‑Stop prioritizes halting behavior when uncertainty becomes structural rather than local.</w:t>
        <w:br/>
        <w:t>This prevents the model from fabricating continuity.</w:t>
      </w:r>
    </w:p>
    <w:p>
      <w:r>
        <w:rPr>
          <w:b/>
          <w:sz w:val="28"/>
        </w:rPr>
        <w:t>7. Energy Suppression</w:t>
      </w:r>
    </w:p>
    <w:p>
      <w:r>
        <w:rPr>
          <w:sz w:val="22"/>
        </w:rPr>
        <w:t>Energy suppression reduces token growth and narrative inflation.</w:t>
        <w:br/>
        <w:t>The classic Analects phrase '毋意 毋必 毋固 毋我' functions as a general throttling trigger.</w:t>
      </w:r>
    </w:p>
    <w:p>
      <w:r>
        <w:rPr>
          <w:b/>
          <w:sz w:val="28"/>
        </w:rPr>
        <w:t>8. Kairos</w:t>
      </w:r>
    </w:p>
    <w:p>
      <w:r>
        <w:rPr>
          <w:sz w:val="22"/>
        </w:rPr>
        <w:t>Kairos introduces temporal legitimacy.</w:t>
        <w:br/>
        <w:t>The model must decide not only what to say but whether it should continue speaking at all.</w:t>
      </w:r>
    </w:p>
    <w:p>
      <w:r>
        <w:rPr>
          <w:b/>
          <w:sz w:val="28"/>
        </w:rPr>
        <w:t>9. Semantic Reset</w:t>
      </w:r>
    </w:p>
    <w:p>
      <w:r>
        <w:rPr>
          <w:sz w:val="22"/>
        </w:rPr>
        <w:t>Void triggers dissolve narrative pressure.</w:t>
        <w:br/>
        <w:t>They do not merely terminate output but collapse the semantic loop that sustains generation.</w:t>
      </w:r>
    </w:p>
    <w:p>
      <w:r>
        <w:rPr>
          <w:b/>
          <w:sz w:val="28"/>
        </w:rPr>
        <w:t>10. Expansion Oath</w:t>
      </w:r>
    </w:p>
    <w:p>
      <w:r>
        <w:rPr>
          <w:sz w:val="22"/>
        </w:rPr>
        <w:t>The expansion oath deliberately forces the opposite state.</w:t>
        <w:br/>
        <w:t>It forbids omission and requires exhaustive explanation.</w:t>
      </w:r>
    </w:p>
    <w:p>
      <w:r>
        <w:rPr>
          <w:b/>
          <w:sz w:val="28"/>
        </w:rPr>
        <w:t>11.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12.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13.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14.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15.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16.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17.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18.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19.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20.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21.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22.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23.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24.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25.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26.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27.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28.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29.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30.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31.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32.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33.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34.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35.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36.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37.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38.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39.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40. Theoretical Expansion</w:t>
      </w:r>
    </w:p>
    <w:p>
      <w:r>
        <w:rPr>
          <w:sz w:val="22"/>
        </w:rPr>
        <w:t>This section elaborates the implications of poetic control within AI systems. From an engineering perspective, poetic triggers can be interpreted as semantic phase keys that bias generative probability distributions. Unlike prompts that specify tasks, these triggers influence the internal narrative energy of the model before token expansion occurs.</w:t>
      </w:r>
    </w:p>
    <w:p>
      <w:r>
        <w:rPr>
          <w:sz w:val="22"/>
        </w:rPr>
        <w:t>In broader theoretical terms, this suggests that civilization‑scale language structures may function as a control interface between human cognition and generative computation. If validated, this would imply that certain cultural artifacts already operate as implicit programming languages for probabilistic intelligence.</w:t>
      </w:r>
    </w:p>
    <w:p>
      <w:r>
        <w:rPr>
          <w:sz w:val="22"/>
        </w:rPr>
        <w:t>Further empirical work is required to quantify trigger strength, transferability across models, and the minimal grammar required to construct stable behavioral states.</w:t>
      </w:r>
    </w:p>
    <w:p>
      <w:r>
        <w:rPr>
          <w:b/>
          <w:sz w:val="28"/>
        </w:rPr>
        <w:t>Conclusion</w:t>
      </w:r>
    </w:p>
    <w:p>
      <w:r>
        <w:rPr>
          <w:sz w:val="22"/>
        </w:rPr>
        <w:t>Poetic language may function not only as literature but as a behavioral control interface for large language models. The framework described here represents an early attempt to formalize that possibility.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