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 vs SQL vs Terraform vs OpenAPI / DAIL 與 SQL、Terraform、OpenAPI 的比較</w:t>
      </w:r>
    </w:p>
    <w:p>
      <w:pPr>
        <w:pStyle w:val="Heading1"/>
      </w:pPr>
      <w:r>
        <w:t>1. Core Idea / 核心概念</w:t>
      </w:r>
    </w:p>
    <w:p>
      <w:r>
        <w:t>EN:</w:t>
        <w:br/>
        <w:t>Modern software engineering repeatedly introduces specification languages to control complex systems.</w:t>
        <w:br/>
        <w:t>Each layer of technology gains its own declarative specification.</w:t>
        <w:br/>
        <w:br/>
        <w:t>CN:</w:t>
        <w:br/>
        <w:t>現代軟體工程的發展其實是一系列『規格語言』的誕生。</w:t>
        <w:br/>
        <w:t>每一層複雜系統都逐漸形成自己的宣告式規格語言。</w:t>
      </w:r>
    </w:p>
    <w:p>
      <w:pPr>
        <w:pStyle w:val="Heading1"/>
      </w:pPr>
      <w:r>
        <w:t>2. Evolution of Specification Languages / 規格語言的演化</w:t>
      </w:r>
    </w:p>
    <w:p>
      <w:r>
        <w:t>EN:</w:t>
        <w:br/>
        <w:t>SQL – Data query specification</w:t>
        <w:br/>
        <w:t>Terraform – Infrastructure specification</w:t>
        <w:br/>
        <w:t>OpenAPI – Service interface specification</w:t>
        <w:br/>
        <w:t>DAIL – AI task specification</w:t>
        <w:br/>
        <w:br/>
        <w:t>CN:</w:t>
        <w:br/>
        <w:t>SQL：資料查詢規格</w:t>
        <w:br/>
        <w:t>Terraform：基礎設施規格</w:t>
        <w:br/>
        <w:t>OpenAPI：服務接口規格</w:t>
        <w:br/>
        <w:t>DAIL：AI 任務規格</w:t>
      </w:r>
    </w:p>
    <w:p>
      <w:pPr>
        <w:pStyle w:val="Heading1"/>
      </w:pPr>
      <w:r>
        <w:t>3. Comparison Table / 比較表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Language</w:t>
            </w:r>
          </w:p>
        </w:tc>
        <w:tc>
          <w:tcPr>
            <w:tcW w:type="dxa" w:w="1728"/>
          </w:tcPr>
          <w:p>
            <w:r>
              <w:t>Controls</w:t>
            </w:r>
          </w:p>
        </w:tc>
        <w:tc>
          <w:tcPr>
            <w:tcW w:type="dxa" w:w="1728"/>
          </w:tcPr>
          <w:p>
            <w:r>
              <w:t>What It Specifies</w:t>
            </w:r>
          </w:p>
        </w:tc>
        <w:tc>
          <w:tcPr>
            <w:tcW w:type="dxa" w:w="1728"/>
          </w:tcPr>
          <w:p>
            <w:r>
              <w:t>Execution Engine</w:t>
            </w:r>
          </w:p>
        </w:tc>
        <w:tc>
          <w:tcPr>
            <w:tcW w:type="dxa" w:w="1728"/>
          </w:tcPr>
          <w:p>
            <w:r>
              <w:t>Chinese 說明</w:t>
            </w:r>
          </w:p>
        </w:tc>
      </w:tr>
      <w:tr>
        <w:tc>
          <w:tcPr>
            <w:tcW w:type="dxa" w:w="1728"/>
          </w:tcPr>
          <w:p>
            <w:r>
              <w:t>SQL</w:t>
            </w:r>
          </w:p>
        </w:tc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Data query constraints</w:t>
            </w:r>
          </w:p>
        </w:tc>
        <w:tc>
          <w:tcPr>
            <w:tcW w:type="dxa" w:w="1728"/>
          </w:tcPr>
          <w:p>
            <w:r>
              <w:t>Query planner</w:t>
            </w:r>
          </w:p>
        </w:tc>
        <w:tc>
          <w:tcPr>
            <w:tcW w:type="dxa" w:w="1728"/>
          </w:tcPr>
          <w:p>
            <w:r>
              <w:t>資料查詢條件</w:t>
            </w:r>
          </w:p>
        </w:tc>
      </w:tr>
      <w:tr>
        <w:tc>
          <w:tcPr>
            <w:tcW w:type="dxa" w:w="1728"/>
          </w:tcPr>
          <w:p>
            <w:r>
              <w:t>Terraform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Desired infrastructure state</w:t>
            </w:r>
          </w:p>
        </w:tc>
        <w:tc>
          <w:tcPr>
            <w:tcW w:type="dxa" w:w="1728"/>
          </w:tcPr>
          <w:p>
            <w:r>
              <w:t>Cloud provisioning engine</w:t>
            </w:r>
          </w:p>
        </w:tc>
        <w:tc>
          <w:tcPr>
            <w:tcW w:type="dxa" w:w="1728"/>
          </w:tcPr>
          <w:p>
            <w:r>
              <w:t>基礎設施狀態</w:t>
            </w:r>
          </w:p>
        </w:tc>
      </w:tr>
      <w:tr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APIs</w:t>
            </w:r>
          </w:p>
        </w:tc>
        <w:tc>
          <w:tcPr>
            <w:tcW w:type="dxa" w:w="1728"/>
          </w:tcPr>
          <w:p>
            <w:r>
              <w:t>Service interface contract</w:t>
            </w:r>
          </w:p>
        </w:tc>
        <w:tc>
          <w:tcPr>
            <w:tcW w:type="dxa" w:w="1728"/>
          </w:tcPr>
          <w:p>
            <w:r>
              <w:t>API tools / code generators</w:t>
            </w:r>
          </w:p>
        </w:tc>
        <w:tc>
          <w:tcPr>
            <w:tcW w:type="dxa" w:w="1728"/>
          </w:tcPr>
          <w:p>
            <w:r>
              <w:t>服務接口規格</w:t>
            </w:r>
          </w:p>
        </w:tc>
      </w:tr>
      <w:tr>
        <w:tc>
          <w:tcPr>
            <w:tcW w:type="dxa" w:w="1728"/>
          </w:tcPr>
          <w:p>
            <w:r>
              <w:t>DAIL</w:t>
            </w:r>
          </w:p>
        </w:tc>
        <w:tc>
          <w:tcPr>
            <w:tcW w:type="dxa" w:w="1728"/>
          </w:tcPr>
          <w:p>
            <w:r>
              <w:t>AI Systems</w:t>
            </w:r>
          </w:p>
        </w:tc>
        <w:tc>
          <w:tcPr>
            <w:tcW w:type="dxa" w:w="1728"/>
          </w:tcPr>
          <w:p>
            <w:r>
              <w:t>AI task constraints</w:t>
            </w:r>
          </w:p>
        </w:tc>
        <w:tc>
          <w:tcPr>
            <w:tcW w:type="dxa" w:w="1728"/>
          </w:tcPr>
          <w:p>
            <w:r>
              <w:t>LLM reasoning engine</w:t>
            </w:r>
          </w:p>
        </w:tc>
        <w:tc>
          <w:tcPr>
            <w:tcW w:type="dxa" w:w="1728"/>
          </w:tcPr>
          <w:p>
            <w:r>
              <w:t>AI 任務規格</w:t>
            </w:r>
          </w:p>
        </w:tc>
      </w:tr>
    </w:tbl>
    <w:p>
      <w:pPr>
        <w:pStyle w:val="Heading1"/>
      </w:pPr>
      <w:r>
        <w:t>4. Conceptual Stack / 抽象層架構</w:t>
      </w:r>
    </w:p>
    <w:p>
      <w:r>
        <w:drawing>
          <wp:inline xmlns:a="http://schemas.openxmlformats.org/drawingml/2006/main" xmlns:pic="http://schemas.openxmlformats.org/drawingml/2006/picture">
            <wp:extent cx="4572000" cy="13423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_spec_language_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23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Key Insight / 核心洞見</w:t>
      </w:r>
    </w:p>
    <w:p>
      <w:r>
        <w:t>EN:</w:t>
        <w:br/>
        <w:t>Every major computing domain eventually develops a declarative specification language.</w:t>
        <w:br/>
        <w:t>DAIL represents the specification layer for AI behavior and tasks.</w:t>
        <w:br/>
        <w:br/>
        <w:t>CN:</w:t>
        <w:br/>
        <w:t>每一個大型計算領域最終都會產生自己的『宣告式規格語言』。</w:t>
        <w:br/>
        <w:t>DAIL 就是 AI 行為與任務的規格語言。</w:t>
      </w:r>
    </w:p>
    <w:p>
      <w:pPr>
        <w:pStyle w:val="Heading1"/>
      </w:pPr>
      <w:r>
        <w:t>6. One Sentence Positioning / 一句定位</w:t>
      </w:r>
    </w:p>
    <w:p>
      <w:r>
        <w:t>EN:</w:t>
        <w:br/>
        <w:t>SQL controls data.</w:t>
        <w:br/>
        <w:t>Terraform controls infrastructure.</w:t>
        <w:br/>
        <w:t>OpenAPI controls services.</w:t>
        <w:br/>
        <w:t>DAIL controls AI tasks.</w:t>
        <w:br/>
        <w:br/>
        <w:t>CN:</w:t>
        <w:br/>
        <w:t>SQL 控制資料。</w:t>
        <w:br/>
        <w:t>Terraform 控制基礎設施。</w:t>
        <w:br/>
        <w:t>OpenAPI 控制服務。</w:t>
        <w:br/>
        <w:t>DAIL 控制 AI 任務。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