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pStyle w:val="Title"/>
        <w:spacing w:after="100"/>
      </w:pPr>
      <w:r>
        <w:t xml:space="preserve">Confidentiality &amp; NDA Policy</w:t>
      </w:r>
    </w:p>
    <w:p>
      <w:pPr>
        <w:spacing w:after="60"/>
      </w:pPr>
      <w:r>
        <w:rPr>
          <w:b/>
          <w:bCs/>
        </w:rPr>
        <w:t xml:space="preserve">Prepared By: </w:t>
      </w:r>
      <w:r>
        <w:t xml:space="preserve">Angela Tino, Executive Operations Lead</w:t>
      </w:r>
    </w:p>
    <w:p>
      <w:pPr>
        <w:spacing w:after="60"/>
      </w:pPr>
      <w:r>
        <w:rPr>
          <w:b/>
          <w:bCs/>
        </w:rPr>
        <w:t xml:space="preserve">Last Updated: </w:t>
      </w:r>
      <w:r>
        <w:t xml:space="preserve">July 22, 2026</w:t>
      </w:r>
    </w:p>
    <w:p>
      <w:pPr>
        <w:spacing w:after="60"/>
      </w:pPr>
      <w:r>
        <w:rPr>
          <w:b/>
          <w:bCs/>
        </w:rPr>
        <w:t xml:space="preserve">Applies To: </w:t>
      </w:r>
      <w:r>
        <w:t xml:space="preserve">All Canopi team members, and external parties who sign a Canopi NDA</w:t>
      </w:r>
    </w:p>
    <w:p>
      <w:pPr>
        <w:pBdr>
          <w:bottom w:val="single" w:color="CCCCCC" w:sz="6"/>
        </w:pBdr>
        <w:spacing w:after="200"/>
      </w:pPr>
    </w:p>
    <w:p>
      <w:pPr>
        <w:pBdr>
          <w:top w:val="single" w:color="C0392B" w:sz="4"/>
          <w:bottom w:val="single" w:color="C0392B" w:sz="4"/>
          <w:left w:val="single" w:color="C0392B" w:sz="4"/>
          <w:right w:val="single" w:color="C0392B" w:sz="4"/>
        </w:pBdr>
        <w:shd w:fill="FBEAEA" w:color="auto" w:val="clear"/>
        <w:spacing w:after="200" w:before="150"/>
      </w:pPr>
      <w:r>
        <w:rPr>
          <w:b/>
          <w:bCs/>
          <w:color w:val="8A1F1F"/>
          <w:sz w:val="22"/>
          <w:szCs w:val="22"/>
        </w:rPr>
        <w:t xml:space="preserve">⚠ WORKING DRAFT — NOT A SUBSTITUTE FOR ACTUAL NDA/AGREEMENT LANGUAGE</w:t>
      </w:r>
      <w:r>
        <w:br/>
      </w:r>
      <w:r>
        <w:rPr>
          <w:b w:val="false"/>
          <w:bCs w:val="false"/>
          <w:color w:val="8A1F1F"/>
          <w:sz w:val="20"/>
          <w:szCs w:val="20"/>
        </w:rPr>
        <w:t xml:space="preserve">This policy describes Canopi's internal process and expectations around confidentiality — it is not itself a legally binding NDA, and shouldn't be treated as one. The actual confidentiality/IP assignment terms that bind team members and external parties should live in individual signed agreements, drafted or reviewed by an attorney. Canopi doesn't yet have a standard NDA template — see “Open Items” below.</w:t>
      </w:r>
    </w:p>
    <w:p>
      <w:pPr>
        <w:pStyle w:val="Heading1"/>
        <w:spacing w:after="150" w:before="300"/>
      </w:pPr>
      <w:r>
        <w:t xml:space="preserve">1. Purpose</w:t>
      </w:r>
    </w:p>
    <w:p>
      <w:pPr>
        <w:spacing w:after="120"/>
      </w:pPr>
      <w:r>
        <w:t xml:space="preserve">This policy sets out what counts as confidential at Canopi, what's expected of team members in handling it, and how Canopi uses NDAs with external parties (candidates, vendors, partners) who need visibility into confidential information before or outside of a formal working relationship.</w:t>
      </w:r>
    </w:p>
    <w:p>
      <w:pPr>
        <w:pStyle w:val="Heading1"/>
        <w:spacing w:after="150" w:before="300"/>
      </w:pPr>
      <w:r>
        <w:t xml:space="preserve">2. Scope</w:t>
      </w:r>
    </w:p>
    <w:p>
      <w:pPr>
        <w:spacing w:after="120"/>
      </w:pPr>
      <w:r>
        <w:t xml:space="preserve">Applies to all Canopi team members, regardless of classification, and to any external party who signs a Canopi NDA or otherwise receives confidential information (e.g. a candidate discussing product details during an interview, or a vendor evaluating a potential contract).</w:t>
      </w:r>
    </w:p>
    <w:p>
      <w:pPr>
        <w:pStyle w:val="Heading1"/>
        <w:spacing w:after="150" w:before="300"/>
      </w:pPr>
      <w:r>
        <w:t xml:space="preserve">3. What Counts as Confidential Information</w:t>
      </w:r>
    </w:p>
    <w:p>
      <w:pPr>
        <w:pStyle w:val="ListParagraph"/>
        <w:numPr>
          <w:ilvl w:val="0"/>
          <w:numId w:val="2"/>
        </w:numPr>
        <w:spacing w:after="60"/>
      </w:pPr>
      <w:r>
        <w:t xml:space="preserve">Source code, technical architecture, and unreleased product plans</w:t>
      </w:r>
    </w:p>
    <w:p>
      <w:pPr>
        <w:pStyle w:val="ListParagraph"/>
        <w:numPr>
          <w:ilvl w:val="0"/>
          <w:numId w:val="2"/>
        </w:numPr>
        <w:spacing w:after="60"/>
      </w:pPr>
      <w:r>
        <w:t xml:space="preserve">Customer data and customer relationships</w:t>
      </w:r>
    </w:p>
    <w:p>
      <w:pPr>
        <w:pStyle w:val="ListParagraph"/>
        <w:numPr>
          <w:ilvl w:val="0"/>
          <w:numId w:val="2"/>
        </w:numPr>
        <w:spacing w:after="60"/>
      </w:pPr>
      <w:r>
        <w:t xml:space="preserve">Financial information, fundraising details, and cap table / equity information</w:t>
      </w:r>
    </w:p>
    <w:p>
      <w:pPr>
        <w:pStyle w:val="ListParagraph"/>
        <w:numPr>
          <w:ilvl w:val="0"/>
          <w:numId w:val="2"/>
        </w:numPr>
        <w:spacing w:after="60"/>
      </w:pPr>
      <w:r>
        <w:t xml:space="preserve">Business strategy, roadmap, and unreleased company plans</w:t>
      </w:r>
    </w:p>
    <w:p>
      <w:pPr>
        <w:pStyle w:val="ListParagraph"/>
        <w:numPr>
          <w:ilvl w:val="0"/>
          <w:numId w:val="2"/>
        </w:numPr>
        <w:spacing w:after="60"/>
      </w:pPr>
      <w:r>
        <w:t xml:space="preserve">Hiring, performance, and other personal/employee information</w:t>
      </w:r>
    </w:p>
    <w:p>
      <w:pPr>
        <w:pStyle w:val="ListParagraph"/>
        <w:numPr>
          <w:ilvl w:val="0"/>
          <w:numId w:val="2"/>
        </w:numPr>
        <w:spacing w:after="60"/>
      </w:pPr>
      <w:r>
        <w:t xml:space="preserve">The existence and terms of this policy, related agreements, and any NDA itself, unless otherwise agreed</w:t>
      </w:r>
    </w:p>
    <w:p>
      <w:pPr>
        <w:pStyle w:val="Heading1"/>
        <w:spacing w:after="150" w:before="300"/>
      </w:pPr>
      <w:r>
        <w:t xml:space="preserve">4. Team Member Obligations</w:t>
      </w:r>
    </w:p>
    <w:p>
      <w:pPr>
        <w:pStyle w:val="ListParagraph"/>
        <w:numPr>
          <w:ilvl w:val="0"/>
          <w:numId w:val="2"/>
        </w:numPr>
        <w:spacing w:after="60"/>
      </w:pPr>
      <w:r>
        <w:t xml:space="preserve">Protect confidential information both during and after your time at Canopi — this obligation doesn't end when the working relationship does.</w:t>
      </w:r>
    </w:p>
    <w:p>
      <w:pPr>
        <w:pStyle w:val="ListParagraph"/>
        <w:numPr>
          <w:ilvl w:val="0"/>
          <w:numId w:val="2"/>
        </w:numPr>
        <w:spacing w:after="60"/>
      </w:pPr>
      <w:r>
        <w:t xml:space="preserve">Don't disclose confidential information outside Canopi, or use it for anything other than Canopi's business, without approval from Bionka Randolph.</w:t>
      </w:r>
    </w:p>
    <w:p>
      <w:pPr>
        <w:pStyle w:val="ListParagraph"/>
        <w:numPr>
          <w:ilvl w:val="0"/>
          <w:numId w:val="2"/>
        </w:numPr>
        <w:spacing w:after="60"/>
      </w:pPr>
      <w:r>
        <w:t xml:space="preserve">Don't discuss confidential information in public or unsecured settings (e.g. a public Slack channel, a personal social media account, or an unencrypted personal device).</w:t>
      </w:r>
    </w:p>
    <w:p>
      <w:pPr>
        <w:pStyle w:val="ListParagraph"/>
        <w:numPr>
          <w:ilvl w:val="0"/>
          <w:numId w:val="2"/>
        </w:numPr>
        <w:spacing w:after="60"/>
      </w:pPr>
      <w:r>
        <w:t xml:space="preserve">Return or securely delete confidential materials when your engagement with Canopi ends, per the Offboarding SOP.</w:t>
      </w:r>
    </w:p>
    <w:p>
      <w:pPr>
        <w:pStyle w:val="Heading1"/>
        <w:spacing w:after="150" w:before="300"/>
      </w:pPr>
      <w:r>
        <w:t xml:space="preserve">5. NDAs with External Parties</w:t>
      </w:r>
    </w:p>
    <w:p>
      <w:pPr>
        <w:spacing w:after="120"/>
      </w:pPr>
      <w:r>
        <w:t xml:space="preserve">Sometimes an external party needs visibility into confidential information before a formal working relationship exists — for example, a candidate discussing sensitive product details during an interview, or a vendor reviewing internal data to scope a proposal. In these cases, an NDA should be signed before that information is shared.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blHeader/>
        </w:trPr>
        <w:tc>
          <w:tcPr>
            <w:tcW w:type="dxa" w:w="3600"/>
            <w:shd w:fill="2D005D" w:color="auto" w:val="clear"/>
            <w:vAlign w:val="center"/>
          </w:tcPr>
          <w:p>
            <w:r>
              <w:rPr>
                <w:rFonts w:ascii="Inter" w:cs="Inter" w:eastAsia="Inter" w:hAnsi="Inter"/>
                <w:b/>
                <w:bCs/>
                <w:color w:val="FFFFFF"/>
                <w:sz w:val="18"/>
                <w:szCs w:val="18"/>
              </w:rPr>
              <w:t xml:space="preserve">Party</w:t>
            </w:r>
          </w:p>
        </w:tc>
        <w:tc>
          <w:tcPr>
            <w:tcW w:type="dxa" w:w="3600"/>
            <w:shd w:fill="2D005D" w:color="auto" w:val="clear"/>
            <w:vAlign w:val="center"/>
          </w:tcPr>
          <w:p>
            <w:r>
              <w:rPr>
                <w:rFonts w:ascii="Inter" w:cs="Inter" w:eastAsia="Inter" w:hAnsi="Inter"/>
                <w:b/>
                <w:bCs/>
                <w:color w:val="FFFFFF"/>
                <w:sz w:val="18"/>
                <w:szCs w:val="18"/>
              </w:rPr>
              <w:t xml:space="preserve">Who Approves/Issues</w:t>
            </w:r>
          </w:p>
        </w:tc>
        <w:tc>
          <w:tcPr>
            <w:tcW w:type="dxa" w:w="3600"/>
            <w:shd w:fill="2D005D" w:color="auto" w:val="clear"/>
            <w:vAlign w:val="center"/>
          </w:tcPr>
          <w:p>
            <w:r>
              <w:rPr>
                <w:rFonts w:ascii="Inter" w:cs="Inter" w:eastAsia="Inter" w:hAnsi="Inter"/>
                <w:b/>
                <w:bCs/>
                <w:color w:val="FFFFFF"/>
                <w:sz w:val="18"/>
                <w:szCs w:val="18"/>
              </w:rPr>
              <w:t xml:space="preserve">Who Coordinates Paperwork</w:t>
            </w:r>
          </w:p>
        </w:tc>
      </w:tr>
      <w:tr>
        <w:tc>
          <w:tcPr>
            <w:tcW w:type="dxa" w:w="3600"/>
            <w:vAlign w:val="center"/>
          </w:tcPr>
          <w:p>
            <w:r>
              <w:rPr>
                <w:rFonts w:ascii="Inter" w:cs="Inter" w:eastAsia="Inter" w:hAnsi="Inter"/>
                <w:b w:val="false"/>
                <w:bCs w:val="false"/>
                <w:color w:val="000000"/>
                <w:sz w:val="18"/>
                <w:szCs w:val="18"/>
              </w:rPr>
              <w:t xml:space="preserve">Candidates (pre-offer, if sensitive info is discussed)</w:t>
            </w:r>
          </w:p>
        </w:tc>
        <w:tc>
          <w:tcPr>
            <w:tcW w:type="dxa" w:w="3600"/>
            <w:vAlign w:val="center"/>
          </w:tcPr>
          <w:p>
            <w:r>
              <w:rPr>
                <w:rFonts w:ascii="Inter" w:cs="Inter" w:eastAsia="Inter" w:hAnsi="Inter"/>
                <w:b w:val="false"/>
                <w:bCs w:val="false"/>
                <w:color w:val="000000"/>
                <w:sz w:val="18"/>
                <w:szCs w:val="18"/>
              </w:rPr>
              <w:t xml:space="preserve">Bionka Randolph</w:t>
            </w:r>
          </w:p>
        </w:tc>
        <w:tc>
          <w:tcPr>
            <w:tcW w:type="dxa" w:w="3600"/>
            <w:vAlign w:val="center"/>
          </w:tcPr>
          <w:p>
            <w:r>
              <w:rPr>
                <w:rFonts w:ascii="Inter" w:cs="Inter" w:eastAsia="Inter" w:hAnsi="Inter"/>
                <w:b w:val="false"/>
                <w:bCs w:val="false"/>
                <w:color w:val="000000"/>
                <w:sz w:val="18"/>
                <w:szCs w:val="18"/>
              </w:rPr>
              <w:t xml:space="preserve">Angela Tino</w:t>
            </w:r>
          </w:p>
        </w:tc>
      </w:tr>
      <w:tr>
        <w:tc>
          <w:tcPr>
            <w:tcW w:type="dxa" w:w="3600"/>
            <w:vAlign w:val="center"/>
          </w:tcPr>
          <w:p>
            <w:r>
              <w:rPr>
                <w:rFonts w:ascii="Inter" w:cs="Inter" w:eastAsia="Inter" w:hAnsi="Inter"/>
                <w:b w:val="false"/>
                <w:bCs w:val="false"/>
                <w:color w:val="000000"/>
                <w:sz w:val="18"/>
                <w:szCs w:val="18"/>
              </w:rPr>
              <w:t xml:space="preserve">Vendors / contractors</w:t>
            </w:r>
          </w:p>
        </w:tc>
        <w:tc>
          <w:tcPr>
            <w:tcW w:type="dxa" w:w="3600"/>
            <w:vAlign w:val="center"/>
          </w:tcPr>
          <w:p>
            <w:r>
              <w:rPr>
                <w:rFonts w:ascii="Inter" w:cs="Inter" w:eastAsia="Inter" w:hAnsi="Inter"/>
                <w:b w:val="false"/>
                <w:bCs w:val="false"/>
                <w:color w:val="000000"/>
                <w:sz w:val="18"/>
                <w:szCs w:val="18"/>
              </w:rPr>
              <w:t xml:space="preserve">Bionka Randolph</w:t>
            </w:r>
          </w:p>
        </w:tc>
        <w:tc>
          <w:tcPr>
            <w:tcW w:type="dxa" w:w="3600"/>
            <w:vAlign w:val="center"/>
          </w:tcPr>
          <w:p>
            <w:r>
              <w:rPr>
                <w:rFonts w:ascii="Inter" w:cs="Inter" w:eastAsia="Inter" w:hAnsi="Inter"/>
                <w:b w:val="false"/>
                <w:bCs w:val="false"/>
                <w:color w:val="000000"/>
                <w:sz w:val="18"/>
                <w:szCs w:val="18"/>
              </w:rPr>
              <w:t xml:space="preserve">Angela Tino</w:t>
            </w:r>
          </w:p>
        </w:tc>
      </w:tr>
      <w:tr>
        <w:tc>
          <w:tcPr>
            <w:tcW w:type="dxa" w:w="3600"/>
            <w:vAlign w:val="center"/>
          </w:tcPr>
          <w:p>
            <w:r>
              <w:rPr>
                <w:rFonts w:ascii="Inter" w:cs="Inter" w:eastAsia="Inter" w:hAnsi="Inter"/>
                <w:b w:val="false"/>
                <w:bCs w:val="false"/>
                <w:color w:val="000000"/>
                <w:sz w:val="18"/>
                <w:szCs w:val="18"/>
              </w:rPr>
              <w:t xml:space="preserve">Partners / other external parties</w:t>
            </w:r>
          </w:p>
        </w:tc>
        <w:tc>
          <w:tcPr>
            <w:tcW w:type="dxa" w:w="3600"/>
            <w:vAlign w:val="center"/>
          </w:tcPr>
          <w:p>
            <w:r>
              <w:rPr>
                <w:rFonts w:ascii="Inter" w:cs="Inter" w:eastAsia="Inter" w:hAnsi="Inter"/>
                <w:b w:val="false"/>
                <w:bCs w:val="false"/>
                <w:color w:val="000000"/>
                <w:sz w:val="18"/>
                <w:szCs w:val="18"/>
              </w:rPr>
              <w:t xml:space="preserve">Bionka Randolph</w:t>
            </w:r>
          </w:p>
        </w:tc>
        <w:tc>
          <w:tcPr>
            <w:tcW w:type="dxa" w:w="3600"/>
            <w:vAlign w:val="center"/>
          </w:tcPr>
          <w:p>
            <w:r>
              <w:rPr>
                <w:rFonts w:ascii="Inter" w:cs="Inter" w:eastAsia="Inter" w:hAnsi="Inter"/>
                <w:b w:val="false"/>
                <w:bCs w:val="false"/>
                <w:color w:val="000000"/>
                <w:sz w:val="18"/>
                <w:szCs w:val="18"/>
              </w:rPr>
              <w:t xml:space="preserve">Angela Tino</w:t>
            </w:r>
          </w:p>
        </w:tc>
      </w:tr>
    </w:tbl>
    <w:p>
      <w:pPr>
        <w:pStyle w:val="Heading1"/>
        <w:spacing w:after="150" w:before="300"/>
      </w:pPr>
      <w:r>
        <w:t xml:space="preserve">6. Duration</w:t>
      </w:r>
    </w:p>
    <w:p>
      <w:pPr>
        <w:spacing w:after="120"/>
      </w:pPr>
      <w:r>
        <w:t xml:space="preserve">Confidentiality obligations are generally intended to continue indefinitely, or for a period defined in the specific agreement — the exact duration and any carve-outs should be set in the individual signed agreement rather than assumed from this policy.</w:t>
      </w:r>
    </w:p>
    <w:p>
      <w:pPr>
        <w:pStyle w:val="Heading1"/>
        <w:spacing w:after="150" w:before="300"/>
      </w:pPr>
      <w:r>
        <w:t xml:space="preserve">7. Permitted Disclosures</w:t>
      </w:r>
    </w:p>
    <w:p>
      <w:pPr>
        <w:spacing w:after="120"/>
      </w:pPr>
      <w:r>
        <w:t xml:space="preserve">Common, standard carve-outs to confidentiality obligations include information that's already public, information independently developed without reference to Canopi's confidential information, and disclosures required by law (e.g. a valid subpoena). The exact carve-outs that apply should be defined in the specific signed agreement, not assumed from this policy.</w:t>
      </w:r>
    </w:p>
    <w:p>
      <w:pPr>
        <w:pStyle w:val="Heading1"/>
        <w:spacing w:after="150" w:before="300"/>
      </w:pPr>
      <w:r>
        <w:t xml:space="preserve">8. Return of Information</w:t>
      </w:r>
    </w:p>
    <w:p>
      <w:pPr>
        <w:spacing w:after="120"/>
      </w:pPr>
      <w:r>
        <w:t xml:space="preserve">When a team member's engagement ends, or an external party's NDA-covered relationship with Canopi concludes, confidential materials should be returned or securely deleted. For team members, this is handled as part of the Offboarding SOP.</w:t>
      </w:r>
    </w:p>
    <w:p>
      <w:pPr>
        <w:pStyle w:val="Heading1"/>
        <w:spacing w:after="150" w:before="300"/>
      </w:pPr>
      <w:r>
        <w:t xml:space="preserve">9. Consequences of Breach</w:t>
      </w:r>
    </w:p>
    <w:p>
      <w:pPr>
        <w:spacing w:after="120"/>
      </w:pPr>
      <w:r>
        <w:t xml:space="preserve">A breach of confidentiality will be addressed proportionately to what happened — for team members, this may include disciplinary action up to termination; for external parties, it may include legal remedies available under the specific signed agreement. Bionka Randolph is accountable for how a breach is handled.</w:t>
      </w:r>
    </w:p>
    <w:p>
      <w:pPr>
        <w:pStyle w:val="Heading1"/>
        <w:spacing w:after="150" w:before="300"/>
      </w:pPr>
      <w:r>
        <w:t xml:space="preserve">Open Items</w:t>
      </w:r>
    </w:p>
    <w:p>
      <w:pPr>
        <w:pStyle w:val="ListParagraph"/>
        <w:numPr>
          <w:ilvl w:val="0"/>
          <w:numId w:val="2"/>
        </w:numPr>
        <w:spacing w:after="60"/>
      </w:pPr>
      <w:r>
        <w:t xml:space="preserve">Canopi doesn't yet have a standard NDA template for candidates, vendors, or partners — this should be drafted or reviewed by an attorney (a natural fit for Resources &gt; Templates once created).</w:t>
      </w:r>
    </w:p>
    <w:p>
      <w:pPr>
        <w:pStyle w:val="ListParagraph"/>
        <w:numPr>
          <w:ilvl w:val="0"/>
          <w:numId w:val="2"/>
        </w:numPr>
        <w:spacing w:after="60"/>
      </w:pPr>
      <w:r>
        <w:t xml:space="preserve">Individual team member agreements should be reviewed to confirm they include clear confidentiality and IP assignment terms, consistent with an attorney's guidance.</w:t>
      </w:r>
    </w:p>
    <w:p>
      <w:pPr>
        <w:pStyle w:val="Heading1"/>
        <w:spacing w:after="150" w:before="300"/>
      </w:pPr>
      <w:r>
        <w:t xml:space="preserve">Related Documents</w:t>
      </w:r>
    </w:p>
    <w:p>
      <w:pPr>
        <w:pStyle w:val="ListParagraph"/>
        <w:numPr>
          <w:ilvl w:val="0"/>
          <w:numId w:val="2"/>
        </w:numPr>
        <w:spacing w:after="60"/>
      </w:pPr>
      <w:r>
        <w:t xml:space="preserve">Employee Handbook (Confidentiality &amp; Intellectual Property)</w:t>
      </w:r>
    </w:p>
    <w:p>
      <w:pPr>
        <w:pStyle w:val="ListParagraph"/>
        <w:numPr>
          <w:ilvl w:val="0"/>
          <w:numId w:val="2"/>
        </w:numPr>
        <w:spacing w:after="60"/>
      </w:pPr>
      <w:r>
        <w:t xml:space="preserve">Code of Conduct (Confidentiality &amp; Company Resources)</w:t>
      </w:r>
    </w:p>
    <w:p>
      <w:pPr>
        <w:pStyle w:val="ListParagraph"/>
        <w:numPr>
          <w:ilvl w:val="0"/>
          <w:numId w:val="2"/>
        </w:numPr>
        <w:spacing w:after="60"/>
      </w:pPr>
      <w:r>
        <w:t xml:space="preserve">Data Privacy &amp; Security Policy</w:t>
      </w:r>
    </w:p>
    <w:p>
      <w:pPr>
        <w:pStyle w:val="ListParagraph"/>
        <w:numPr>
          <w:ilvl w:val="0"/>
          <w:numId w:val="2"/>
        </w:numPr>
        <w:spacing w:after="60"/>
      </w:pPr>
      <w:r>
        <w:t xml:space="preserve">Offboarding SOP</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Inter" w:cs="Inter" w:eastAsia="Inter" w:hAnsi="Inter"/>
      <w:b/>
      <w:bCs/>
      <w:color w:val="2D005D"/>
      <w:sz w:val="36"/>
      <w:szCs w:val="36"/>
    </w:rPr>
  </w:style>
  <w:style w:type="paragraph" w:styleId="Heading1">
    <w:name w:val="Heading 1"/>
    <w:basedOn w:val="Normal"/>
    <w:next w:val="Normal"/>
    <w:qFormat/>
    <w:rPr>
      <w:rFonts w:ascii="Inter" w:cs="Inter" w:eastAsia="Inter" w:hAnsi="Inter"/>
      <w:b/>
      <w:bCs/>
      <w:color w:val="2D00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b33f16aaf99bca7a703d5b3fb4cfe7f4f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2026-07-22T05:33:34.619Z</dcterms:created>
  <dcterms:modified xsi:type="dcterms:W3CDTF">2026-07-22T05:33:34.682Z</dcterms:modified>
</cp:coreProperties>
</file>

<file path=docProps/custom.xml><?xml version="1.0" encoding="utf-8"?>
<Properties xmlns="http://schemas.openxmlformats.org/officeDocument/2006/custom-properties" xmlns:vt="http://schemas.openxmlformats.org/officeDocument/2006/docPropsVTypes"/>
</file>