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drawing>
          <wp:inline distT="0" distB="0" distL="0" distR="0">
            <wp:extent cx="666750" cy="666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Title"/>
        <w:spacing w:after="100"/>
      </w:pPr>
      <w:r>
        <w:t xml:space="preserve">New Hire Onboarding &amp; Equipment Setup SOP</w:t>
      </w:r>
    </w:p>
    <w:p>
      <w:pPr>
        <w:spacing w:after="60"/>
      </w:pPr>
      <w:r>
        <w:rPr>
          <w:b/>
          <w:bCs/>
        </w:rPr>
        <w:t xml:space="preserve">Process Owner: </w:t>
      </w:r>
      <w:r>
        <w:t xml:space="preserve">Angela Tino, Executive Operations Lead</w:t>
      </w:r>
    </w:p>
    <w:p>
      <w:pPr>
        <w:spacing w:after="60"/>
      </w:pPr>
      <w:r>
        <w:rPr>
          <w:b/>
          <w:bCs/>
        </w:rPr>
        <w:t xml:space="preserve">Accountable Executive: </w:t>
      </w:r>
      <w:r>
        <w:t xml:space="preserve">Bionka Randolph, CEO/Founder</w:t>
      </w:r>
    </w:p>
    <w:p>
      <w:pPr>
        <w:spacing w:after="60"/>
      </w:pPr>
      <w:r>
        <w:rPr>
          <w:b/>
          <w:bCs/>
        </w:rPr>
        <w:t xml:space="preserve">Last Updated: </w:t>
      </w:r>
      <w:r>
        <w:t xml:space="preserve">July 22, 2026</w:t>
      </w:r>
    </w:p>
    <w:p>
      <w:pPr>
        <w:spacing w:after="60"/>
      </w:pPr>
      <w:r>
        <w:rPr>
          <w:b/>
          <w:bCs/>
        </w:rPr>
        <w:t xml:space="preserve">Review Cadence: </w:t>
      </w:r>
      <w:r>
        <w:t xml:space="preserve">Quarterly, or as team tooling changes</w:t>
      </w:r>
    </w:p>
    <w:p>
      <w:pPr>
        <w:pBdr>
          <w:bottom w:val="single" w:color="CCCCCC" w:sz="6"/>
        </w:pBdr>
        <w:spacing w:after="200"/>
      </w:pPr>
    </w:p>
    <w:p>
      <w:pPr>
        <w:pStyle w:val="Heading1"/>
        <w:spacing w:after="150" w:before="300"/>
      </w:pPr>
      <w:r>
        <w:t xml:space="preserve">Purpose</w:t>
      </w:r>
    </w:p>
    <w:p>
      <w:pPr>
        <w:spacing w:after="120"/>
      </w:pPr>
      <w:r>
        <w:t xml:space="preserve">This SOP documents the steps taken once a candidate accepts an offer, from document collection through system access and first-week setup, so every new hire has a consistent, complete start experience.</w:t>
      </w:r>
    </w:p>
    <w:p>
      <w:pPr>
        <w:pStyle w:val="Heading1"/>
        <w:spacing w:after="150" w:before="300"/>
      </w:pPr>
      <w:r>
        <w:t xml:space="preserve">Scope</w:t>
      </w:r>
    </w:p>
    <w:p>
      <w:pPr>
        <w:spacing w:after="120"/>
      </w:pPr>
      <w:r>
        <w:t xml:space="preserve">Begins once Bionka Randolph confirms a candidate has accepted the offer and a start date is set. Ends once the new hire has email, Slack, directory records, and recurring meeting access in place. Does not cover the hiring/interview process itself — see the Hiring &amp; Recruitment SOP for that.</w:t>
      </w:r>
    </w:p>
    <w:p>
      <w:pPr>
        <w:spacing w:after="120"/>
      </w:pPr>
      <w:r>
        <w:rPr>
          <w:i/>
          <w:iCs/>
        </w:rPr>
        <w:t xml:space="preserve">Note: Engineering and Product team-specific equipment or software setup (e.g. dev environment access, design tool licenses) is not yet fully documented. Confirm with Jagun Rimes (Engineering) and Dixon Lin (Product) whether team-specific onboarding checklists exist, and incorporate them here.</w:t>
      </w:r>
    </w:p>
    <w:p>
      <w:pPr>
        <w:pStyle w:val="Heading1"/>
        <w:spacing w:after="150" w:before="300"/>
      </w:pPr>
      <w:r>
        <w:t xml:space="preserve">RACI Matrix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9"/>
        <w:gridCol w:w="2507"/>
        <w:gridCol w:w="2507"/>
        <w:gridCol w:w="2507"/>
      </w:tblGrid>
      <w:tr>
        <w:trPr>
          <w:tblHeader/>
        </w:trPr>
        <w:tc>
          <w:tcPr>
            <w:tcW w:type="dxa" w:w="3279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Accountable</w:t>
            </w:r>
          </w:p>
        </w:tc>
        <w:tc>
          <w:tcPr>
            <w:tcW w:type="dxa" w:w="2507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8"/>
                <w:szCs w:val="18"/>
              </w:rPr>
              <w:t xml:space="preserve">Informed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Send offer &amp; collect documents (ID, etc.)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/ 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Confirm start date to EA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Set up email signature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New Hire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Send company directory forms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New Hire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Set up Slack access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New Hire, Angela Tino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Send weekly meeting invite(s)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New Hire</w:t>
            </w:r>
          </w:p>
        </w:tc>
      </w:tr>
      <w:tr>
        <w:tc>
          <w:tcPr>
            <w:tcW w:type="dxa" w:w="3279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Team-specific equipment/tool setup (Engineering/Product)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Relevant Team Head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Relevant Team Head</w:t>
            </w:r>
          </w:p>
        </w:tc>
        <w:tc>
          <w:tcPr>
            <w:tcW w:type="dxa" w:w="2507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</w:t>
            </w:r>
          </w:p>
        </w:tc>
      </w:tr>
    </w:tbl>
    <w:p>
      <w:pPr>
        <w:pStyle w:val="Heading1"/>
        <w:spacing w:after="150" w:before="300"/>
      </w:pPr>
      <w:r>
        <w:t xml:space="preserve">Process Flow (Summary)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1. Bionka Randolph or Angela Tino confirms candidate acceptance and requests required documents (ID, etc.) from them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2. Bionka Randolph informs Angela Tino of the confirmed start 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3. Angela Tino sets up the new hire's email signature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4. Angela Tino sends the company directory forms to the new hire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5. Bionka Randolph sets up and sends Slack access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6. Angela Tino sends invitations to recurring weekly team meeting(s)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7. [Gap to confirm] Relevant Team Head sets up any team-specific equipment/tool access</w:t>
      </w:r>
    </w:p>
    <w:p>
      <w:pPr>
        <w:pStyle w:val="Heading1"/>
        <w:spacing w:after="150" w:before="300"/>
      </w:pPr>
      <w:r>
        <w:t xml:space="preserve">Detailed Steps</w:t>
      </w:r>
    </w:p>
    <w:p>
      <w:pPr>
        <w:pStyle w:val="Heading2"/>
        <w:spacing w:after="120" w:before="250"/>
      </w:pPr>
      <w:r>
        <w:t xml:space="preserve">Step 1: Document Collection</w:t>
      </w:r>
    </w:p>
    <w:p>
      <w:pPr>
        <w:spacing w:after="120"/>
      </w:pPr>
      <w:r>
        <w:rPr>
          <w:b w:val="false"/>
          <w:bCs w:val="false"/>
        </w:rPr>
        <w:t xml:space="preserve">Who: Bionka Randolph or Angela Tino</w:t>
      </w:r>
    </w:p>
    <w:p>
      <w:pPr>
        <w:spacing w:after="120"/>
      </w:pPr>
      <w:r>
        <w:rPr>
          <w:b w:val="false"/>
          <w:bCs w:val="false"/>
        </w:rPr>
        <w:t xml:space="preserve">When: Immediately after informing the candidate they've been selected</w:t>
      </w:r>
    </w:p>
    <w:p>
      <w:pPr>
        <w:spacing w:after="120"/>
      </w:pPr>
      <w:r>
        <w:rPr>
          <w:b w:val="false"/>
          <w:bCs w:val="false"/>
        </w:rPr>
        <w:t xml:space="preserve">How: Request required documents (e.g. valid ID) from the candidate, needed before their start date.</w:t>
      </w:r>
    </w:p>
    <w:p>
      <w:pPr>
        <w:spacing w:after="120"/>
      </w:pPr>
      <w:r>
        <w:rPr>
          <w:b w:val="false"/>
          <w:bCs w:val="false"/>
        </w:rPr>
        <w:t xml:space="preserve">Output: Completed document set on file.</w:t>
      </w:r>
    </w:p>
    <w:p>
      <w:pPr>
        <w:pStyle w:val="Heading2"/>
        <w:spacing w:after="120" w:before="250"/>
      </w:pPr>
      <w:r>
        <w:t xml:space="preserve">Step 2: Start Date Confirmation</w:t>
      </w:r>
    </w:p>
    <w:p>
      <w:pPr>
        <w:spacing w:after="120"/>
      </w:pPr>
      <w:r>
        <w:rPr>
          <w:b w:val="false"/>
          <w:bCs w:val="false"/>
        </w:rPr>
        <w:t xml:space="preserve">Who: Bionka Randolph → Angela Tino</w:t>
      </w:r>
    </w:p>
    <w:p>
      <w:pPr>
        <w:spacing w:after="120"/>
      </w:pPr>
      <w:r>
        <w:rPr>
          <w:b w:val="false"/>
          <w:bCs w:val="false"/>
        </w:rPr>
        <w:t xml:space="preserve">How: Bionka informs Angela of the new hire's confirmed start date, which triggers the remaining onboarding steps below.</w:t>
      </w:r>
    </w:p>
    <w:p>
      <w:pPr>
        <w:spacing w:after="120"/>
      </w:pPr>
      <w:r>
        <w:rPr>
          <w:b w:val="false"/>
          <w:bCs w:val="false"/>
        </w:rPr>
        <w:t xml:space="preserve">Output: Onboarding timeline set.</w:t>
      </w:r>
    </w:p>
    <w:p>
      <w:pPr>
        <w:pStyle w:val="Heading2"/>
        <w:spacing w:after="120" w:before="250"/>
      </w:pPr>
      <w:r>
        <w:t xml:space="preserve">Step 3: Email Signature Setup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Create and configure the new hire's email signature ahead of their start date.</w:t>
      </w:r>
    </w:p>
    <w:p>
      <w:pPr>
        <w:spacing w:after="120"/>
      </w:pPr>
      <w:r>
        <w:rPr>
          <w:b w:val="false"/>
          <w:bCs w:val="false"/>
        </w:rPr>
        <w:t xml:space="preserve">Output: Email signature ready for new hire's first day.</w:t>
      </w:r>
    </w:p>
    <w:p>
      <w:pPr>
        <w:pStyle w:val="Heading2"/>
        <w:spacing w:after="120" w:before="250"/>
      </w:pPr>
      <w:r>
        <w:t xml:space="preserve">Step 4: Directory Forms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Send the company directory forms to the new hire for completion (contact info, emergency contact, etc.).</w:t>
      </w:r>
    </w:p>
    <w:p>
      <w:pPr>
        <w:spacing w:after="120"/>
      </w:pPr>
      <w:r>
        <w:rPr>
          <w:b w:val="false"/>
          <w:bCs w:val="false"/>
        </w:rPr>
        <w:t xml:space="preserve">Output: New hire added to company directory records.</w:t>
      </w:r>
    </w:p>
    <w:p>
      <w:pPr>
        <w:pStyle w:val="Heading2"/>
        <w:spacing w:after="120" w:before="250"/>
      </w:pPr>
      <w:r>
        <w:t xml:space="preserve">Step 5: Slack Access</w:t>
      </w:r>
    </w:p>
    <w:p>
      <w:pPr>
        <w:spacing w:after="120"/>
      </w:pPr>
      <w:r>
        <w:rPr>
          <w:b w:val="false"/>
          <w:bCs w:val="false"/>
        </w:rPr>
        <w:t xml:space="preserve">Who: Bionka Randolph</w:t>
      </w:r>
    </w:p>
    <w:p>
      <w:pPr>
        <w:spacing w:after="120"/>
      </w:pPr>
      <w:r>
        <w:rPr>
          <w:b w:val="false"/>
          <w:bCs w:val="false"/>
        </w:rPr>
        <w:t xml:space="preserve">How: Bionka sets up and sends Slack workspace access to the new hire.</w:t>
      </w:r>
    </w:p>
    <w:p>
      <w:pPr>
        <w:spacing w:after="120"/>
      </w:pPr>
      <w:r>
        <w:rPr>
          <w:b w:val="false"/>
          <w:bCs w:val="false"/>
        </w:rPr>
        <w:t xml:space="preserve">Output: New hire has Slack access ahead of/on start date.</w:t>
      </w:r>
    </w:p>
    <w:p>
      <w:pPr>
        <w:pStyle w:val="Heading2"/>
        <w:spacing w:after="120" w:before="250"/>
      </w:pPr>
      <w:r>
        <w:t xml:space="preserve">Step 6: Recurring Meeting Access</w:t>
      </w:r>
    </w:p>
    <w:p>
      <w:pPr>
        <w:spacing w:after="120"/>
      </w:pPr>
      <w:r>
        <w:rPr>
          <w:b w:val="false"/>
          <w:bCs w:val="false"/>
        </w:rPr>
        <w:t xml:space="preserve">Who: Angela Tino</w:t>
      </w:r>
    </w:p>
    <w:p>
      <w:pPr>
        <w:spacing w:after="120"/>
      </w:pPr>
      <w:r>
        <w:rPr>
          <w:b w:val="false"/>
          <w:bCs w:val="false"/>
        </w:rPr>
        <w:t xml:space="preserve">How: Send calendar invitations for the weekly team meeting(s) relevant to the new hire's team.</w:t>
      </w:r>
    </w:p>
    <w:p>
      <w:pPr>
        <w:spacing w:after="120"/>
      </w:pPr>
      <w:r>
        <w:rPr>
          <w:b w:val="false"/>
          <w:bCs w:val="false"/>
        </w:rPr>
        <w:t xml:space="preserve">Output: New hire is on the recurring meeting calendar.</w:t>
      </w:r>
    </w:p>
    <w:p>
      <w:pPr>
        <w:pStyle w:val="Heading2"/>
        <w:spacing w:after="120" w:before="250"/>
      </w:pPr>
      <w:r>
        <w:t xml:space="preserve">Step 7: Team-Specific Equipment/Tool Setup (Gap — To Be Confirmed)</w:t>
      </w:r>
    </w:p>
    <w:p>
      <w:pPr>
        <w:spacing w:after="120"/>
      </w:pPr>
      <w:r>
        <w:rPr>
          <w:b w:val="false"/>
          <w:bCs w:val="false"/>
        </w:rPr>
        <w:t xml:space="preserve">Who: Jagun Rimes (Engineering) or Dixon Lin (Product), TBD</w:t>
      </w:r>
    </w:p>
    <w:p>
      <w:pPr>
        <w:spacing w:after="120"/>
      </w:pPr>
      <w:r>
        <w:rPr>
          <w:b w:val="false"/>
          <w:bCs w:val="false"/>
        </w:rPr>
        <w:t xml:space="preserve">How: To be defined — confirm with each Team Head whether they have laptop/hardware provisioning, dev environment access, design tool licenses (e.g. Figma), or other setup steps that should be added here.</w:t>
      </w:r>
    </w:p>
    <w:p>
      <w:pPr>
        <w:spacing w:after="120"/>
      </w:pPr>
      <w:r>
        <w:rPr>
          <w:b w:val="false"/>
          <w:bCs w:val="false"/>
        </w:rPr>
        <w:t xml:space="preserve">Output: Pending — follow up with Engineering and Product leads.</w:t>
      </w:r>
    </w:p>
    <w:p>
      <w:pPr>
        <w:pStyle w:val="Heading1"/>
        <w:spacing w:after="150" w:before="300"/>
      </w:pPr>
      <w:r>
        <w:t xml:space="preserve">Exceptions and Edge Cases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36"/>
        <w:gridCol w:w="6364"/>
      </w:tblGrid>
      <w:tr>
        <w:trPr>
          <w:tblHeader/>
        </w:trPr>
        <w:tc>
          <w:tcPr>
            <w:tcW w:type="dxa" w:w="4436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Scenario</w:t>
            </w:r>
          </w:p>
        </w:tc>
        <w:tc>
          <w:tcPr>
            <w:tcW w:type="dxa" w:w="6364"/>
            <w:shd w:fill="2D005D" w:color="auto" w:val="clear"/>
            <w:vAlign w:val="center"/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21"/>
                <w:szCs w:val="21"/>
              </w:rPr>
              <w:t xml:space="preserve">What to Do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Engineering or Product team has tool/equipment needs not yet documented here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to confirm with Jagun Rimes (Engineering) or Dixon Lin (Product) whether their team has a separate setup checklist; if not, capture it and fold into this SOP.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New hire's start date changes after documents are already sent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Angela Tino updates the directory forms and meeting invites to reflect the new date; Bionka re-confirms Slack access timing.</w:t>
            </w:r>
          </w:p>
        </w:tc>
      </w:tr>
      <w:tr>
        <w:tc>
          <w:tcPr>
            <w:tcW w:type="dxa" w:w="4436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Required ID documents are incomplete at offer stage</w:t>
            </w:r>
          </w:p>
        </w:tc>
        <w:tc>
          <w:tcPr>
            <w:tcW w:type="dxa" w:w="6364"/>
            <w:vAlign w:val="center"/>
          </w:tcPr>
          <w:p>
            <w:r>
              <w:rPr>
                <w:rFonts w:ascii="Inter" w:cs="Inter" w:eastAsia="Inter" w:hAnsi="Inter"/>
                <w:b w:val="false"/>
                <w:bCs w:val="false"/>
                <w:color w:val="000000"/>
                <w:sz w:val="18"/>
                <w:szCs w:val="18"/>
              </w:rPr>
              <w:t xml:space="preserve">Bionka Randolph follows up directly with the candidate before finalizing the start date.</w:t>
            </w:r>
          </w:p>
        </w:tc>
      </w:tr>
    </w:tbl>
    <w:p>
      <w:pPr>
        <w:pStyle w:val="Heading1"/>
        <w:spacing w:after="150" w:before="300"/>
      </w:pPr>
      <w:r>
        <w:t xml:space="preserve">Open Items to Finalize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with Jagun Rimes whether Engineering has a separate hardware/dev-environment onboarding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with Dixon Lin whether Product/Design has separate tool provisioning steps (e.g. Figma seats for Sebastian Mesa's role)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standard timeline (e.g. "documents due 1 week before start date," "Slack access sent by Day 0") once volume increases enough to require it</w:t>
      </w:r>
    </w:p>
    <w:p>
      <w:pPr>
        <w:pStyle w:val="Heading1"/>
        <w:spacing w:after="150" w:before="300"/>
      </w:pPr>
      <w:r>
        <w:t xml:space="preserve">Related Documents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Hiring &amp; Recruitment SOP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Company Directory Forms</w:t>
      </w:r>
    </w:p>
    <w:sectPr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rPr>
      <w:rFonts w:ascii="Inter" w:cs="Inter" w:eastAsia="Inter" w:hAnsi="Inter"/>
      <w:b/>
      <w:bCs/>
      <w:color w:val="2D005D"/>
      <w:sz w:val="36"/>
      <w:szCs w:val="36"/>
    </w:rPr>
  </w:style>
  <w:style w:type="paragraph" w:styleId="Heading1">
    <w:name w:val="Heading 1"/>
    <w:basedOn w:val="Normal"/>
    <w:next w:val="Normal"/>
    <w:qFormat/>
    <w:rPr>
      <w:rFonts w:ascii="Inter" w:cs="Inter" w:eastAsia="Inter" w:hAnsi="Inter"/>
      <w:b/>
      <w:bCs/>
      <w:color w:val="2D005D"/>
      <w:sz w:val="28"/>
      <w:szCs w:val="28"/>
    </w:rPr>
  </w:style>
  <w:style w:type="paragraph" w:styleId="Heading2">
    <w:name w:val="Heading 2"/>
    <w:basedOn w:val="Normal"/>
    <w:next w:val="Normal"/>
    <w:qFormat/>
    <w:rPr>
      <w:rFonts w:ascii="Inter" w:cs="Inter" w:eastAsia="Inter" w:hAnsi="Inter"/>
      <w:b/>
      <w:bCs/>
      <w:color w:val="2D005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60b33f16aaf99bca7a703d5b3fb4cfe7f4f47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2026-07-22T02:52:40.438Z</dcterms:created>
  <dcterms:modified xsi:type="dcterms:W3CDTF">2026-07-22T02:52:40.455Z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