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drawing>
          <wp:inline distT="0" distB="0" distL="0" distR="0">
            <wp:extent cx="66675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66750"/>
                    </a:xfrm>
                    <a:prstGeom prst="rect">
                      <a:avLst/>
                    </a:prstGeom>
                  </pic:spPr>
                </pic:pic>
              </a:graphicData>
            </a:graphic>
          </wp:inline>
        </w:drawing>
      </w:r>
    </w:p>
    <w:p>
      <w:pPr>
        <w:pStyle w:val="Title"/>
        <w:spacing w:after="100"/>
      </w:pPr>
      <w:r>
        <w:t xml:space="preserve">New Hire FAQ</w:t>
      </w:r>
    </w:p>
    <w:p>
      <w:pPr>
        <w:spacing w:after="60"/>
      </w:pPr>
      <w:r>
        <w:rPr>
          <w:b/>
          <w:bCs/>
        </w:rPr>
        <w:t xml:space="preserve">Prepared By: </w:t>
      </w:r>
      <w:r>
        <w:t xml:space="preserve">Angela Tino, Executive Operations Lead</w:t>
      </w:r>
    </w:p>
    <w:p>
      <w:pPr>
        <w:spacing w:after="60"/>
      </w:pPr>
      <w:r>
        <w:rPr>
          <w:b/>
          <w:bCs/>
        </w:rPr>
        <w:t xml:space="preserve">Last Updated: </w:t>
      </w:r>
      <w:r>
        <w:t xml:space="preserve">July 22, 2026</w:t>
      </w:r>
    </w:p>
    <w:p>
      <w:pPr>
        <w:spacing w:after="60"/>
      </w:pPr>
      <w:r>
        <w:rPr>
          <w:b/>
          <w:bCs/>
        </w:rPr>
        <w:t xml:space="preserve">For: </w:t>
      </w:r>
      <w:r>
        <w:t xml:space="preserve">Anyone new to Canopi in their first few weeks</w:t>
      </w:r>
    </w:p>
    <w:p>
      <w:pPr>
        <w:pBdr>
          <w:bottom w:val="single" w:color="CCCCCC" w:sz="6"/>
        </w:pBdr>
        <w:spacing w:after="200"/>
      </w:pPr>
    </w:p>
    <w:p>
      <w:pPr>
        <w:spacing w:after="120"/>
      </w:pPr>
      <w:r>
        <w:t xml:space="preserve">Welcome to Canopi! This FAQ pulls together the questions you're most likely to have in your first few weeks. Every answer links back to the full policy or SOP if you want more detail.</w:t>
      </w:r>
    </w:p>
    <w:p>
      <w:pPr>
        <w:pStyle w:val="Heading1"/>
        <w:spacing w:after="150" w:before="300"/>
      </w:pPr>
      <w:r>
        <w:t xml:space="preserve">Getting Started</w:t>
      </w:r>
    </w:p>
    <w:p>
      <w:pPr>
        <w:spacing w:after="40" w:before="160"/>
      </w:pPr>
      <w:r>
        <w:rPr>
          <w:b/>
          <w:bCs/>
          <w:color w:val="2D005D"/>
        </w:rPr>
        <w:t xml:space="preserve">Q: What should I expect in my first week?</w:t>
      </w:r>
    </w:p>
    <w:p>
      <w:pPr>
        <w:spacing w:after="100"/>
      </w:pPr>
      <w:r>
        <w:rPr>
          <w:b/>
          <w:bCs/>
        </w:rPr>
        <w:t xml:space="preserve">A: </w:t>
      </w:r>
      <w:r>
        <w:t xml:space="preserve">Before your start date, Bionka sends you a list of required documents (like ID) and sets up your Slack access. Angela sets up your email signature, sends you company directory forms, and adds you to your team's recurring meeting invites. See the New Hire Onboarding &amp; Equipment Setup SOP for the full process.</w:t>
      </w:r>
    </w:p>
    <w:p>
      <w:pPr>
        <w:spacing w:after="40" w:before="160"/>
      </w:pPr>
      <w:r>
        <w:rPr>
          <w:b/>
          <w:bCs/>
          <w:color w:val="2D005D"/>
        </w:rPr>
        <w:t xml:space="preserve">Q: Who do I go to if something wasn't set up for me?</w:t>
      </w:r>
    </w:p>
    <w:p>
      <w:pPr>
        <w:spacing w:after="100"/>
      </w:pPr>
      <w:r>
        <w:rPr>
          <w:b/>
          <w:bCs/>
        </w:rPr>
        <w:t xml:space="preserve">A: </w:t>
      </w:r>
      <w:r>
        <w:t xml:space="preserve">Check the “Who Do I Contact” table at the end of this FAQ — in most cases it's Bionka (equipment/access) or Angela (directory/meetings).</w:t>
      </w:r>
    </w:p>
    <w:p>
      <w:pPr>
        <w:spacing w:after="40" w:before="160"/>
      </w:pPr>
      <w:r>
        <w:rPr>
          <w:b/>
          <w:bCs/>
          <w:color w:val="2D005D"/>
        </w:rPr>
        <w:t xml:space="preserve">Q: I need access to a tool that wasn't part of my initial setup — what do I do?</w:t>
      </w:r>
    </w:p>
    <w:p>
      <w:pPr>
        <w:spacing w:after="100"/>
      </w:pPr>
      <w:r>
        <w:rPr>
          <w:b/>
          <w:bCs/>
        </w:rPr>
        <w:t xml:space="preserve">A: </w:t>
      </w:r>
      <w:r>
        <w:t xml:space="preserve">Post in the #access-requests Slack channel with the tool name and reason. Who approves it depends on the tool — see the IT/System Access Request SOP for the full breakdown.</w:t>
      </w:r>
    </w:p>
    <w:p>
      <w:pPr>
        <w:pStyle w:val="Heading1"/>
        <w:spacing w:after="150" w:before="300"/>
      </w:pPr>
      <w:r>
        <w:t xml:space="preserve">Compensation &amp; Equity</w:t>
      </w:r>
    </w:p>
    <w:p>
      <w:pPr>
        <w:spacing w:after="40" w:before="160"/>
      </w:pPr>
      <w:r>
        <w:rPr>
          <w:b/>
          <w:bCs/>
          <w:color w:val="2D005D"/>
        </w:rPr>
        <w:t xml:space="preserve">Q: How am I compensated?</w:t>
      </w:r>
    </w:p>
    <w:p>
      <w:pPr>
        <w:spacing w:after="100"/>
      </w:pPr>
      <w:r>
        <w:rPr>
          <w:b/>
          <w:bCs/>
        </w:rPr>
        <w:t xml:space="preserve">A: </w:t>
      </w:r>
      <w:r>
        <w:t xml:space="preserve">Canopi's current compensation model is equity-only — there's no cash salary at this stage. Your specific equity terms (grant size, vesting) are in your individual agreement. See the Employee Handbook's Compensation &amp; Equity section for more.</w:t>
      </w:r>
    </w:p>
    <w:p>
      <w:pPr>
        <w:spacing w:after="40" w:before="160"/>
      </w:pPr>
      <w:r>
        <w:rPr>
          <w:b/>
          <w:bCs/>
          <w:color w:val="2D005D"/>
        </w:rPr>
        <w:t xml:space="preserve">Q: Do I need to do anything for payroll or tax paperwork?</w:t>
      </w:r>
    </w:p>
    <w:p>
      <w:pPr>
        <w:spacing w:after="100"/>
      </w:pPr>
      <w:r>
        <w:rPr>
          <w:b/>
          <w:bCs/>
        </w:rPr>
        <w:t xml:space="preserve">A: </w:t>
      </w:r>
      <w:r>
        <w:t xml:space="preserve">Since there's no cash payroll right now, standard payroll paperwork doesn't apply. If you have questions about your equity documentation specifically, raise them with Bionka directly.</w:t>
      </w:r>
    </w:p>
    <w:p>
      <w:pPr>
        <w:pStyle w:val="Heading1"/>
        <w:spacing w:after="150" w:before="300"/>
      </w:pPr>
      <w:r>
        <w:t xml:space="preserve">Time Off</w:t>
      </w:r>
    </w:p>
    <w:p>
      <w:pPr>
        <w:spacing w:after="40" w:before="160"/>
      </w:pPr>
      <w:r>
        <w:rPr>
          <w:b/>
          <w:bCs/>
          <w:color w:val="2D005D"/>
        </w:rPr>
        <w:t xml:space="preserve">Q: How do I request time off?</w:t>
      </w:r>
    </w:p>
    <w:p>
      <w:pPr>
        <w:spacing w:after="100"/>
      </w:pPr>
      <w:r>
        <w:rPr>
          <w:b/>
          <w:bCs/>
        </w:rPr>
        <w:t xml:space="preserve">A: </w:t>
      </w:r>
      <w:r>
        <w:t xml:space="preserve">You don't need approval — since compensation is equity-only, there's no PTO balance to draw down. Just give Bionka as much advance notice as you can so the team can plan around it. See the PTO / Leave Request SOP.</w:t>
      </w:r>
    </w:p>
    <w:p>
      <w:pPr>
        <w:spacing w:after="40" w:before="160"/>
      </w:pPr>
      <w:r>
        <w:rPr>
          <w:b/>
          <w:bCs/>
          <w:color w:val="2D005D"/>
        </w:rPr>
        <w:t xml:space="preserve">Q: What if something comes up with no notice?</w:t>
      </w:r>
    </w:p>
    <w:p>
      <w:pPr>
        <w:spacing w:after="100"/>
      </w:pPr>
      <w:r>
        <w:rPr>
          <w:b/>
          <w:bCs/>
        </w:rPr>
        <w:t xml:space="preserve">A: </w:t>
      </w:r>
      <w:r>
        <w:t xml:space="preserve">Let Bionka know as soon as you're able to. This is a notification process, not an approval one, so there's no penalty for short notice when it's genuinely unavoidable.</w:t>
      </w:r>
    </w:p>
    <w:p>
      <w:pPr>
        <w:pStyle w:val="Heading1"/>
        <w:spacing w:after="150" w:before="300"/>
      </w:pPr>
      <w:r>
        <w:t xml:space="preserve">Communication &amp; Working Hours</w:t>
      </w:r>
    </w:p>
    <w:p>
      <w:pPr>
        <w:spacing w:after="40" w:before="160"/>
      </w:pPr>
      <w:r>
        <w:rPr>
          <w:b/>
          <w:bCs/>
          <w:color w:val="2D005D"/>
        </w:rPr>
        <w:t xml:space="preserve">Q: Do I need to be online at specific hours?</w:t>
      </w:r>
    </w:p>
    <w:p>
      <w:pPr>
        <w:spacing w:after="100"/>
      </w:pPr>
      <w:r>
        <w:rPr>
          <w:b/>
          <w:bCs/>
        </w:rPr>
        <w:t xml:space="preserve">A: </w:t>
      </w:r>
      <w:r>
        <w:t xml:space="preserve">There's no company-wide fixed schedule. You'll agree reasonable working-hours overlap directly with your Team Head, and you're expected to be responsive during your own agreed hours. See the Remote Work / Work-From-Home Policy.</w:t>
      </w:r>
    </w:p>
    <w:p>
      <w:pPr>
        <w:spacing w:after="40" w:before="160"/>
      </w:pPr>
      <w:r>
        <w:rPr>
          <w:b/>
          <w:bCs/>
          <w:color w:val="2D005D"/>
        </w:rPr>
        <w:t xml:space="preserve">Q: Slack or email — which should I use?</w:t>
      </w:r>
    </w:p>
    <w:p>
      <w:pPr>
        <w:spacing w:after="100"/>
      </w:pPr>
      <w:r>
        <w:rPr>
          <w:b/>
          <w:bCs/>
        </w:rPr>
        <w:t xml:space="preserve">A: </w:t>
      </w:r>
      <w:r>
        <w:t xml:space="preserve">Slack for day-to-day team communication; email for anything external or that needs a lasting record. See Slack / Email Communication Norms for more detail, including suggested channels.</w:t>
      </w:r>
    </w:p>
    <w:p>
      <w:pPr>
        <w:pStyle w:val="Heading1"/>
        <w:spacing w:after="150" w:before="300"/>
      </w:pPr>
      <w:r>
        <w:t xml:space="preserve">Performance &amp; Growth</w:t>
      </w:r>
    </w:p>
    <w:p>
      <w:pPr>
        <w:spacing w:after="40" w:before="160"/>
      </w:pPr>
      <w:r>
        <w:rPr>
          <w:b/>
          <w:bCs/>
          <w:color w:val="2D005D"/>
        </w:rPr>
        <w:t xml:space="preserve">Q: When's my first performance review?</w:t>
      </w:r>
    </w:p>
    <w:p>
      <w:pPr>
        <w:spacing w:after="100"/>
      </w:pPr>
      <w:r>
        <w:rPr>
          <w:b/>
          <w:bCs/>
        </w:rPr>
        <w:t xml:space="preserve">A: </w:t>
      </w:r>
      <w:r>
        <w:t xml:space="preserve">Canopi runs a quarterly, 360-style review (self-assessment, peer feedback, manager review) focused on growth and feedback. If you start less than 6 weeks before a cycle begins, you'll skip that quarter and join the next one. See the Performance Review &amp; Feedback Cycle SOP.</w:t>
      </w:r>
    </w:p>
    <w:p>
      <w:pPr>
        <w:pStyle w:val="Heading1"/>
        <w:spacing w:after="150" w:before="300"/>
      </w:pPr>
      <w:r>
        <w:t xml:space="preserve">Conduct &amp; Support</w:t>
      </w:r>
    </w:p>
    <w:p>
      <w:pPr>
        <w:spacing w:after="40" w:before="160"/>
      </w:pPr>
      <w:r>
        <w:rPr>
          <w:b/>
          <w:bCs/>
          <w:color w:val="2D005D"/>
        </w:rPr>
        <w:t xml:space="preserve">Q: What if I experience or witness something that doesn't feel right?</w:t>
      </w:r>
    </w:p>
    <w:p>
      <w:pPr>
        <w:spacing w:after="100"/>
      </w:pPr>
      <w:r>
        <w:rPr>
          <w:b/>
          <w:bCs/>
        </w:rPr>
        <w:t xml:space="preserve">A: </w:t>
      </w:r>
      <w:r>
        <w:t xml:space="preserve">Report it — to Bionka or Angela in most cases, or to the other of the two if it involves one of them directly. See the Code of Conduct and the Equal Opportunity / Anti-Harassment Policy for the full process.</w:t>
      </w:r>
    </w:p>
    <w:p>
      <w:pPr>
        <w:pStyle w:val="Heading1"/>
        <w:spacing w:after="150" w:before="300"/>
      </w:pPr>
      <w:r>
        <w:t xml:space="preserve">Who Do I Contact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rPr>
          <w:tblHeader/>
        </w:trPr>
        <w:tc>
          <w:tcPr>
            <w:tcW w:type="dxa" w:w="5400"/>
            <w:shd w:fill="2D005D" w:color="auto" w:val="clear"/>
            <w:vAlign w:val="center"/>
          </w:tcPr>
          <w:p>
            <w:r>
              <w:rPr>
                <w:rFonts w:ascii="Inter" w:cs="Inter" w:eastAsia="Inter" w:hAnsi="Inter"/>
                <w:b/>
                <w:bCs/>
                <w:color w:val="FFFFFF"/>
                <w:sz w:val="18"/>
                <w:szCs w:val="18"/>
              </w:rPr>
              <w:t xml:space="preserve">For This...</w:t>
            </w:r>
          </w:p>
        </w:tc>
        <w:tc>
          <w:tcPr>
            <w:tcW w:type="dxa" w:w="5400"/>
            <w:shd w:fill="2D005D" w:color="auto" w:val="clear"/>
            <w:vAlign w:val="center"/>
          </w:tcPr>
          <w:p>
            <w:r>
              <w:rPr>
                <w:rFonts w:ascii="Inter" w:cs="Inter" w:eastAsia="Inter" w:hAnsi="Inter"/>
                <w:b/>
                <w:bCs/>
                <w:color w:val="FFFFFF"/>
                <w:sz w:val="18"/>
                <w:szCs w:val="18"/>
              </w:rPr>
              <w:t xml:space="preserve">Contact</w:t>
            </w:r>
          </w:p>
        </w:tc>
      </w:tr>
      <w:tr>
        <w:tc>
          <w:tcPr>
            <w:tcW w:type="dxa" w:w="5400"/>
            <w:vAlign w:val="center"/>
          </w:tcPr>
          <w:p>
            <w:r>
              <w:rPr>
                <w:rFonts w:ascii="Inter" w:cs="Inter" w:eastAsia="Inter" w:hAnsi="Inter"/>
                <w:b w:val="false"/>
                <w:bCs w:val="false"/>
                <w:color w:val="000000"/>
                <w:sz w:val="18"/>
                <w:szCs w:val="18"/>
              </w:rPr>
              <w:t xml:space="preserve">General questions, directory forms, meeting invites</w:t>
            </w:r>
          </w:p>
        </w:tc>
        <w:tc>
          <w:tcPr>
            <w:tcW w:type="dxa" w:w="5400"/>
            <w:vAlign w:val="center"/>
          </w:tcPr>
          <w:p>
            <w:r>
              <w:rPr>
                <w:rFonts w:ascii="Inter" w:cs="Inter" w:eastAsia="Inter" w:hAnsi="Inter"/>
                <w:b w:val="false"/>
                <w:bCs w:val="false"/>
                <w:color w:val="000000"/>
                <w:sz w:val="18"/>
                <w:szCs w:val="18"/>
              </w:rPr>
              <w:t xml:space="preserve">Angela Tino</w:t>
            </w:r>
          </w:p>
        </w:tc>
      </w:tr>
      <w:tr>
        <w:tc>
          <w:tcPr>
            <w:tcW w:type="dxa" w:w="5400"/>
            <w:vAlign w:val="center"/>
          </w:tcPr>
          <w:p>
            <w:r>
              <w:rPr>
                <w:rFonts w:ascii="Inter" w:cs="Inter" w:eastAsia="Inter" w:hAnsi="Inter"/>
                <w:b w:val="false"/>
                <w:bCs w:val="false"/>
                <w:color w:val="000000"/>
                <w:sz w:val="18"/>
                <w:szCs w:val="18"/>
              </w:rPr>
              <w:t xml:space="preserve">Equipment, Slack/email access, lost/stolen devices</w:t>
            </w:r>
          </w:p>
        </w:tc>
        <w:tc>
          <w:tcPr>
            <w:tcW w:type="dxa" w:w="5400"/>
            <w:vAlign w:val="center"/>
          </w:tcPr>
          <w:p>
            <w:r>
              <w:rPr>
                <w:rFonts w:ascii="Inter" w:cs="Inter" w:eastAsia="Inter" w:hAnsi="Inter"/>
                <w:b w:val="false"/>
                <w:bCs w:val="false"/>
                <w:color w:val="000000"/>
                <w:sz w:val="18"/>
                <w:szCs w:val="18"/>
              </w:rPr>
              <w:t xml:space="preserve">Bionka Randolph</w:t>
            </w:r>
          </w:p>
        </w:tc>
      </w:tr>
      <w:tr>
        <w:tc>
          <w:tcPr>
            <w:tcW w:type="dxa" w:w="5400"/>
            <w:vAlign w:val="center"/>
          </w:tcPr>
          <w:p>
            <w:r>
              <w:rPr>
                <w:rFonts w:ascii="Inter" w:cs="Inter" w:eastAsia="Inter" w:hAnsi="Inter"/>
                <w:b w:val="false"/>
                <w:bCs w:val="false"/>
                <w:color w:val="000000"/>
                <w:sz w:val="18"/>
                <w:szCs w:val="18"/>
              </w:rPr>
              <w:t xml:space="preserve">Requesting access to a new tool</w:t>
            </w:r>
          </w:p>
        </w:tc>
        <w:tc>
          <w:tcPr>
            <w:tcW w:type="dxa" w:w="5400"/>
            <w:vAlign w:val="center"/>
          </w:tcPr>
          <w:p>
            <w:r>
              <w:rPr>
                <w:rFonts w:ascii="Inter" w:cs="Inter" w:eastAsia="Inter" w:hAnsi="Inter"/>
                <w:b w:val="false"/>
                <w:bCs w:val="false"/>
                <w:color w:val="000000"/>
                <w:sz w:val="18"/>
                <w:szCs w:val="18"/>
              </w:rPr>
              <w:t xml:space="preserve">#access-requests (see IT/System Access Request SOP)</w:t>
            </w:r>
          </w:p>
        </w:tc>
      </w:tr>
      <w:tr>
        <w:tc>
          <w:tcPr>
            <w:tcW w:type="dxa" w:w="5400"/>
            <w:vAlign w:val="center"/>
          </w:tcPr>
          <w:p>
            <w:r>
              <w:rPr>
                <w:rFonts w:ascii="Inter" w:cs="Inter" w:eastAsia="Inter" w:hAnsi="Inter"/>
                <w:b w:val="false"/>
                <w:bCs w:val="false"/>
                <w:color w:val="000000"/>
                <w:sz w:val="18"/>
                <w:szCs w:val="18"/>
              </w:rPr>
              <w:t xml:space="preserve">Engineering-specific tools/access</w:t>
            </w:r>
          </w:p>
        </w:tc>
        <w:tc>
          <w:tcPr>
            <w:tcW w:type="dxa" w:w="5400"/>
            <w:vAlign w:val="center"/>
          </w:tcPr>
          <w:p>
            <w:r>
              <w:rPr>
                <w:rFonts w:ascii="Inter" w:cs="Inter" w:eastAsia="Inter" w:hAnsi="Inter"/>
                <w:b w:val="false"/>
                <w:bCs w:val="false"/>
                <w:color w:val="000000"/>
                <w:sz w:val="18"/>
                <w:szCs w:val="18"/>
              </w:rPr>
              <w:t xml:space="preserve">Jagun Rimes</w:t>
            </w:r>
          </w:p>
        </w:tc>
      </w:tr>
      <w:tr>
        <w:tc>
          <w:tcPr>
            <w:tcW w:type="dxa" w:w="5400"/>
            <w:vAlign w:val="center"/>
          </w:tcPr>
          <w:p>
            <w:r>
              <w:rPr>
                <w:rFonts w:ascii="Inter" w:cs="Inter" w:eastAsia="Inter" w:hAnsi="Inter"/>
                <w:b w:val="false"/>
                <w:bCs w:val="false"/>
                <w:color w:val="000000"/>
                <w:sz w:val="18"/>
                <w:szCs w:val="18"/>
              </w:rPr>
              <w:t xml:space="preserve">Product/design-specific tools/access</w:t>
            </w:r>
          </w:p>
        </w:tc>
        <w:tc>
          <w:tcPr>
            <w:tcW w:type="dxa" w:w="5400"/>
            <w:vAlign w:val="center"/>
          </w:tcPr>
          <w:p>
            <w:r>
              <w:rPr>
                <w:rFonts w:ascii="Inter" w:cs="Inter" w:eastAsia="Inter" w:hAnsi="Inter"/>
                <w:b w:val="false"/>
                <w:bCs w:val="false"/>
                <w:color w:val="000000"/>
                <w:sz w:val="18"/>
                <w:szCs w:val="18"/>
              </w:rPr>
              <w:t xml:space="preserve">Dixon Lin</w:t>
            </w:r>
          </w:p>
        </w:tc>
      </w:tr>
      <w:tr>
        <w:tc>
          <w:tcPr>
            <w:tcW w:type="dxa" w:w="5400"/>
            <w:vAlign w:val="center"/>
          </w:tcPr>
          <w:p>
            <w:r>
              <w:rPr>
                <w:rFonts w:ascii="Inter" w:cs="Inter" w:eastAsia="Inter" w:hAnsi="Inter"/>
                <w:b w:val="false"/>
                <w:bCs w:val="false"/>
                <w:color w:val="000000"/>
                <w:sz w:val="18"/>
                <w:szCs w:val="18"/>
              </w:rPr>
              <w:t xml:space="preserve">Reporting a concern (conduct, harassment, etc.)</w:t>
            </w:r>
          </w:p>
        </w:tc>
        <w:tc>
          <w:tcPr>
            <w:tcW w:type="dxa" w:w="5400"/>
            <w:vAlign w:val="center"/>
          </w:tcPr>
          <w:p>
            <w:r>
              <w:rPr>
                <w:rFonts w:ascii="Inter" w:cs="Inter" w:eastAsia="Inter" w:hAnsi="Inter"/>
                <w:b w:val="false"/>
                <w:bCs w:val="false"/>
                <w:color w:val="000000"/>
                <w:sz w:val="18"/>
                <w:szCs w:val="18"/>
              </w:rPr>
              <w:t xml:space="preserve">Bionka Randolph or Angela Tino (or the other one, if it involves one of them)</w:t>
            </w:r>
          </w:p>
        </w:tc>
      </w:tr>
    </w:tbl>
    <w:p>
      <w:pPr>
        <w:pStyle w:val="Heading1"/>
        <w:spacing w:after="150" w:before="300"/>
      </w:pPr>
      <w:r>
        <w:t xml:space="preserve">Related Documents</w:t>
      </w:r>
    </w:p>
    <w:p>
      <w:pPr>
        <w:pStyle w:val="ListParagraph"/>
        <w:numPr>
          <w:ilvl w:val="0"/>
          <w:numId w:val="2"/>
        </w:numPr>
        <w:spacing w:after="60"/>
      </w:pPr>
      <w:r>
        <w:t xml:space="preserve">New Hire Onboarding &amp; Equipment Setup SOP</w:t>
      </w:r>
    </w:p>
    <w:p>
      <w:pPr>
        <w:pStyle w:val="ListParagraph"/>
        <w:numPr>
          <w:ilvl w:val="0"/>
          <w:numId w:val="2"/>
        </w:numPr>
        <w:spacing w:after="60"/>
      </w:pPr>
      <w:r>
        <w:t xml:space="preserve">Employee Handbook</w:t>
      </w:r>
    </w:p>
    <w:p>
      <w:pPr>
        <w:pStyle w:val="ListParagraph"/>
        <w:numPr>
          <w:ilvl w:val="0"/>
          <w:numId w:val="2"/>
        </w:numPr>
        <w:spacing w:after="60"/>
      </w:pPr>
      <w:r>
        <w:t xml:space="preserve">PTO / Leave Request SOP</w:t>
      </w:r>
    </w:p>
    <w:p>
      <w:pPr>
        <w:pStyle w:val="ListParagraph"/>
        <w:numPr>
          <w:ilvl w:val="0"/>
          <w:numId w:val="2"/>
        </w:numPr>
        <w:spacing w:after="60"/>
      </w:pPr>
      <w:r>
        <w:t xml:space="preserve">Remote Work / Work-From-Home Policy</w:t>
      </w:r>
    </w:p>
    <w:p>
      <w:pPr>
        <w:pStyle w:val="ListParagraph"/>
        <w:numPr>
          <w:ilvl w:val="0"/>
          <w:numId w:val="2"/>
        </w:numPr>
        <w:spacing w:after="60"/>
      </w:pPr>
      <w:r>
        <w:t xml:space="preserve">IT/System Access Request SOP</w:t>
      </w:r>
    </w:p>
    <w:p>
      <w:pPr>
        <w:pStyle w:val="ListParagraph"/>
        <w:numPr>
          <w:ilvl w:val="0"/>
          <w:numId w:val="2"/>
        </w:numPr>
        <w:spacing w:after="60"/>
      </w:pPr>
      <w:r>
        <w:t xml:space="preserve">Performance Review &amp; Feedback Cycle SOP</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rPr>
      <w:rFonts w:ascii="Inter" w:cs="Inter" w:eastAsia="Inter" w:hAnsi="Inter"/>
      <w:b/>
      <w:bCs/>
      <w:color w:val="2D005D"/>
      <w:sz w:val="36"/>
      <w:szCs w:val="36"/>
    </w:rPr>
  </w:style>
  <w:style w:type="paragraph" w:styleId="Heading1">
    <w:name w:val="Heading 1"/>
    <w:basedOn w:val="Normal"/>
    <w:next w:val="Normal"/>
    <w:qFormat/>
    <w:rPr>
      <w:rFonts w:ascii="Inter" w:cs="Inter" w:eastAsia="Inter" w:hAnsi="Inter"/>
      <w:b/>
      <w:bCs/>
      <w:color w:val="2D00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60b33f16aaf99bca7a703d5b3fb4cfe7f4f4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2026-07-22T05:48:30.415Z</dcterms:created>
  <dcterms:modified xsi:type="dcterms:W3CDTF">2026-07-22T05:48:30.428Z</dcterms:modified>
</cp:coreProperties>
</file>

<file path=docProps/custom.xml><?xml version="1.0" encoding="utf-8"?>
<Properties xmlns="http://schemas.openxmlformats.org/officeDocument/2006/custom-properties" xmlns:vt="http://schemas.openxmlformats.org/officeDocument/2006/docPropsVTypes"/>
</file>