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pStyle w:val="Title"/>
        <w:spacing w:after="100"/>
      </w:pPr>
      <w:r>
        <w:t xml:space="preserve">Code of Conduct</w:t>
      </w:r>
    </w:p>
    <w:p>
      <w:pPr>
        <w:spacing w:after="60"/>
      </w:pPr>
      <w:r>
        <w:rPr>
          <w:b/>
          <w:bCs/>
        </w:rPr>
        <w:t xml:space="preserve">Prepared By: </w:t>
      </w:r>
      <w:r>
        <w:t xml:space="preserve">Angela Tino, Executive Operations Lead</w:t>
      </w:r>
    </w:p>
    <w:p>
      <w:pPr>
        <w:spacing w:after="60"/>
      </w:pPr>
      <w:r>
        <w:rPr>
          <w:b/>
          <w:bCs/>
        </w:rPr>
        <w:t xml:space="preserve">Last Updated: </w:t>
      </w:r>
      <w:r>
        <w:t xml:space="preserve">July 22, 2026</w:t>
      </w:r>
    </w:p>
    <w:p>
      <w:pPr>
        <w:spacing w:after="60"/>
      </w:pPr>
      <w:r>
        <w:rPr>
          <w:b/>
          <w:bCs/>
        </w:rPr>
        <w:t xml:space="preserve">Applies To: </w:t>
      </w:r>
      <w:r>
        <w:t xml:space="preserve">All Canopi team members, regardless of role, team, or classification</w:t>
      </w:r>
    </w:p>
    <w:p>
      <w:pPr>
        <w:pBdr>
          <w:bottom w:val="single" w:color="CCCCCC" w:sz="6"/>
        </w:pBdr>
        <w:spacing w:after="200"/>
      </w:pPr>
    </w:p>
    <w:p>
      <w:pPr>
        <w:pStyle w:val="Heading1"/>
        <w:spacing w:after="150" w:before="300"/>
      </w:pPr>
      <w:r>
        <w:t xml:space="preserve">1. Purpose</w:t>
      </w:r>
    </w:p>
    <w:p>
      <w:pPr>
        <w:spacing w:after="120"/>
      </w:pPr>
      <w:r>
        <w:t xml:space="preserve">This Code of Conduct sets out how everyone at Canopi is expected to treat each other, our candidates, and anyone else we work with. It exists to keep Canopi a place where people can do good work without friction getting in the way — not as a list of rules for their own sake.</w:t>
      </w:r>
    </w:p>
    <w:p>
      <w:pPr>
        <w:pStyle w:val="Heading1"/>
        <w:spacing w:after="150" w:before="300"/>
      </w:pPr>
      <w:r>
        <w:t xml:space="preserve">2. Core Values</w:t>
      </w:r>
    </w:p>
    <w:p>
      <w:pPr>
        <w:spacing w:after="120"/>
      </w:pPr>
      <w:r>
        <w:t xml:space="preserve">These values underpin everything else in this document:</w:t>
      </w:r>
    </w:p>
    <w:p>
      <w:pPr>
        <w:pStyle w:val="ListParagraph"/>
        <w:numPr>
          <w:ilvl w:val="0"/>
          <w:numId w:val="2"/>
        </w:numPr>
        <w:spacing w:after="60"/>
      </w:pPr>
      <w:r>
        <w:t xml:space="preserve">Respect — disagreement is normal and healthy; disrespect isn't.</w:t>
      </w:r>
    </w:p>
    <w:p>
      <w:pPr>
        <w:pStyle w:val="ListParagraph"/>
        <w:numPr>
          <w:ilvl w:val="0"/>
          <w:numId w:val="2"/>
        </w:numPr>
        <w:spacing w:after="60"/>
      </w:pPr>
      <w:r>
        <w:t xml:space="preserve">Ownership — do what you say you'll do, and own the outcome, good or bad.</w:t>
      </w:r>
    </w:p>
    <w:p>
      <w:pPr>
        <w:pStyle w:val="ListParagraph"/>
        <w:numPr>
          <w:ilvl w:val="0"/>
          <w:numId w:val="2"/>
        </w:numPr>
        <w:spacing w:after="60"/>
      </w:pPr>
      <w:r>
        <w:t xml:space="preserve">Transparency — default to sharing context and reasoning, not gatekeeping it.</w:t>
      </w:r>
    </w:p>
    <w:p>
      <w:pPr>
        <w:pStyle w:val="ListParagraph"/>
        <w:numPr>
          <w:ilvl w:val="0"/>
          <w:numId w:val="2"/>
        </w:numPr>
        <w:spacing w:after="60"/>
      </w:pPr>
      <w:r>
        <w:t xml:space="preserve">Growth mindset — treat feedback, mistakes, and setbacks as information, not verdicts.</w:t>
      </w:r>
    </w:p>
    <w:p>
      <w:pPr>
        <w:pStyle w:val="ListParagraph"/>
        <w:numPr>
          <w:ilvl w:val="0"/>
          <w:numId w:val="2"/>
        </w:numPr>
        <w:spacing w:after="60"/>
      </w:pPr>
      <w:r>
        <w:t xml:space="preserve">Integrity — do the right thing even when no one's watching or asking you to.</w:t>
      </w:r>
    </w:p>
    <w:p>
      <w:pPr>
        <w:pStyle w:val="Heading1"/>
        <w:spacing w:after="150" w:before="300"/>
      </w:pPr>
      <w:r>
        <w:t xml:space="preserve">3. Expected Behaviors</w:t>
      </w:r>
    </w:p>
    <w:p>
      <w:pPr>
        <w:pStyle w:val="ListParagraph"/>
        <w:numPr>
          <w:ilvl w:val="0"/>
          <w:numId w:val="2"/>
        </w:numPr>
        <w:spacing w:after="60"/>
      </w:pPr>
      <w:r>
        <w:t xml:space="preserve">Communicate directly and kindly — raise issues with the person involved before escalating, where it's safe and reasonable to do so.</w:t>
      </w:r>
    </w:p>
    <w:p>
      <w:pPr>
        <w:pStyle w:val="ListParagraph"/>
        <w:numPr>
          <w:ilvl w:val="0"/>
          <w:numId w:val="2"/>
        </w:numPr>
        <w:spacing w:after="60"/>
      </w:pPr>
      <w:r>
        <w:t xml:space="preserve">Give and receive feedback in the spirit it's intended: to help each other grow, not to score points.</w:t>
      </w:r>
    </w:p>
    <w:p>
      <w:pPr>
        <w:pStyle w:val="ListParagraph"/>
        <w:numPr>
          <w:ilvl w:val="0"/>
          <w:numId w:val="2"/>
        </w:numPr>
        <w:spacing w:after="60"/>
      </w:pPr>
      <w:r>
        <w:t xml:space="preserve">Follow through on commitments, and flag early if something's at risk of slipping, rather than letting it surface as a surprise.</w:t>
      </w:r>
    </w:p>
    <w:p>
      <w:pPr>
        <w:pStyle w:val="ListParagraph"/>
        <w:numPr>
          <w:ilvl w:val="0"/>
          <w:numId w:val="2"/>
        </w:numPr>
        <w:spacing w:after="60"/>
      </w:pPr>
      <w:r>
        <w:t xml:space="preserve">Keep communication (Slack, email, meetings) professional, clear, and considerate of others' time.</w:t>
      </w:r>
    </w:p>
    <w:p>
      <w:pPr>
        <w:pStyle w:val="ListParagraph"/>
        <w:numPr>
          <w:ilvl w:val="0"/>
          <w:numId w:val="2"/>
        </w:numPr>
        <w:spacing w:after="60"/>
      </w:pPr>
      <w:r>
        <w:t xml:space="preserve">Respect others' working hours and availability, especially across time zones.</w:t>
      </w:r>
    </w:p>
    <w:p>
      <w:pPr>
        <w:pStyle w:val="ListParagraph"/>
        <w:numPr>
          <w:ilvl w:val="0"/>
          <w:numId w:val="2"/>
        </w:numPr>
        <w:spacing w:after="60"/>
      </w:pPr>
      <w:r>
        <w:t xml:space="preserve">Use good judgment with company resources, tools, and information — treat them as you would your own.</w:t>
      </w:r>
    </w:p>
    <w:p>
      <w:pPr>
        <w:pStyle w:val="Heading1"/>
        <w:spacing w:after="150" w:before="300"/>
      </w:pPr>
      <w:r>
        <w:t xml:space="preserve">4. Unacceptable Behaviors</w:t>
      </w:r>
    </w:p>
    <w:p>
      <w:pPr>
        <w:spacing w:after="120"/>
      </w:pPr>
      <w:r>
        <w:t xml:space="preserve">The following are not tolerated at Canopi, in any setting — in the (virtual) workplace, at company events, or in any Canopi-related communication:</w:t>
      </w:r>
    </w:p>
    <w:p>
      <w:pPr>
        <w:pStyle w:val="ListParagraph"/>
        <w:numPr>
          <w:ilvl w:val="0"/>
          <w:numId w:val="2"/>
        </w:numPr>
        <w:spacing w:after="60"/>
      </w:pPr>
      <w:r>
        <w:t xml:space="preserve">Harassment or discrimination of any kind, including based on race, color, religion, sex, sexual orientation, gender identity, national origin, age, disability, or any other protected status.</w:t>
      </w:r>
    </w:p>
    <w:p>
      <w:pPr>
        <w:pStyle w:val="ListParagraph"/>
        <w:numPr>
          <w:ilvl w:val="0"/>
          <w:numId w:val="2"/>
        </w:numPr>
        <w:spacing w:after="60"/>
      </w:pPr>
      <w:r>
        <w:t xml:space="preserve">Retaliation against anyone who raises a concern in good faith or participates in an investigation.</w:t>
      </w:r>
    </w:p>
    <w:p>
      <w:pPr>
        <w:pStyle w:val="ListParagraph"/>
        <w:numPr>
          <w:ilvl w:val="0"/>
          <w:numId w:val="2"/>
        </w:numPr>
        <w:spacing w:after="60"/>
      </w:pPr>
      <w:r>
        <w:t xml:space="preserve">Bullying, intimidation, or deliberately undermining a colleague's work or reputation.</w:t>
      </w:r>
    </w:p>
    <w:p>
      <w:pPr>
        <w:pStyle w:val="ListParagraph"/>
        <w:numPr>
          <w:ilvl w:val="0"/>
          <w:numId w:val="2"/>
        </w:numPr>
        <w:spacing w:after="60"/>
      </w:pPr>
      <w:r>
        <w:t xml:space="preserve">Misuse or unauthorized disclosure of confidential company, customer, or product information.</w:t>
      </w:r>
    </w:p>
    <w:p>
      <w:pPr>
        <w:pStyle w:val="ListParagraph"/>
        <w:numPr>
          <w:ilvl w:val="0"/>
          <w:numId w:val="2"/>
        </w:numPr>
        <w:spacing w:after="60"/>
      </w:pPr>
      <w:r>
        <w:t xml:space="preserve">Use of company accounts, tools, or equipment for anything illegal, or for personal gain at Canopi's expense.</w:t>
      </w:r>
    </w:p>
    <w:p>
      <w:pPr>
        <w:pStyle w:val="ListParagraph"/>
        <w:numPr>
          <w:ilvl w:val="0"/>
          <w:numId w:val="2"/>
        </w:numPr>
        <w:spacing w:after="60"/>
      </w:pPr>
      <w:r>
        <w:t xml:space="preserve">Any form of dishonesty in company matters — falsifying information, misrepresenting work, or similar conduct.</w:t>
      </w:r>
    </w:p>
    <w:p>
      <w:pPr>
        <w:pStyle w:val="Heading1"/>
        <w:spacing w:after="150" w:before="300"/>
      </w:pPr>
      <w:r>
        <w:t xml:space="preserve">5. Anti-Harassment &amp; Discrimination</w:t>
      </w:r>
    </w:p>
    <w:p>
      <w:pPr>
        <w:spacing w:after="120"/>
      </w:pPr>
      <w:r>
        <w:t xml:space="preserve">This section works alongside the Equal Opportunity section of the Employee Handbook. Canopi does not tolerate harassment or discrimination based on any protected characteristic, whether from a colleague, a manager, or anyone else connected to the company. This includes unwelcome comments, jokes, or conduct related to a protected characteristic, as well as more overt forms of harassment or discrimination.</w:t>
      </w:r>
    </w:p>
    <w:p>
      <w:pPr>
        <w:pStyle w:val="Heading1"/>
        <w:spacing w:after="150" w:before="300"/>
      </w:pPr>
      <w:r>
        <w:t xml:space="preserve">6. Conflicts of Interest</w:t>
      </w:r>
    </w:p>
    <w:p>
      <w:pPr>
        <w:spacing w:after="120"/>
      </w:pPr>
      <w:r>
        <w:t xml:space="preserve">Team members should avoid situations where personal interests could conflict, or appear to conflict, with Canopi's interests — for example, a financial interest in a vendor or competitor, or a close personal relationship affecting a hiring or business decision. If in doubt, raise it with Bionka Randolph so it can be handled transparently.</w:t>
      </w:r>
    </w:p>
    <w:p>
      <w:pPr>
        <w:pStyle w:val="Heading1"/>
        <w:spacing w:after="150" w:before="300"/>
      </w:pPr>
      <w:r>
        <w:t xml:space="preserve">7. Confidentiality &amp; Company Resources</w:t>
      </w:r>
    </w:p>
    <w:p>
      <w:pPr>
        <w:spacing w:after="120"/>
      </w:pPr>
      <w:r>
        <w:t xml:space="preserve">Team members are expected to protect confidential company, customer, and product information, and to use company accounts, tools, and equipment responsibly. Full detail on both lives in the Employee Handbook (Confidentiality &amp; Intellectual Property, and Acceptable Use of Company Technology) — this Code of Conduct sets the behavioral expectation; those sections set the detailed policy.</w:t>
      </w:r>
    </w:p>
    <w:p>
      <w:pPr>
        <w:pStyle w:val="Heading1"/>
        <w:spacing w:after="150" w:before="300"/>
      </w:pPr>
      <w:r>
        <w:t xml:space="preserve">8. Remote Work Conduct</w:t>
      </w:r>
    </w:p>
    <w:p>
      <w:pPr>
        <w:spacing w:after="120"/>
      </w:pPr>
      <w:r>
        <w:t xml:space="preserve">As a remote-first team, most of our interactions happen over Slack and video calls rather than in person — the same standard of respect and professionalism applies there as anywhere else.</w:t>
      </w:r>
    </w:p>
    <w:p>
      <w:pPr>
        <w:pStyle w:val="ListParagraph"/>
        <w:numPr>
          <w:ilvl w:val="0"/>
          <w:numId w:val="2"/>
        </w:numPr>
        <w:spacing w:after="60"/>
      </w:pPr>
      <w:r>
        <w:t xml:space="preserve">Be as present and engaged on video calls as you would be in person, where the format allows.</w:t>
      </w:r>
    </w:p>
    <w:p>
      <w:pPr>
        <w:pStyle w:val="ListParagraph"/>
        <w:numPr>
          <w:ilvl w:val="0"/>
          <w:numId w:val="2"/>
        </w:numPr>
        <w:spacing w:after="60"/>
      </w:pPr>
      <w:r>
        <w:t xml:space="preserve">Assume tone can be lost in text — give colleagues the benefit of the doubt in Slack/email, and move to a call if something feels tense or unclear.</w:t>
      </w:r>
    </w:p>
    <w:p>
      <w:pPr>
        <w:pStyle w:val="ListParagraph"/>
        <w:numPr>
          <w:ilvl w:val="0"/>
          <w:numId w:val="2"/>
        </w:numPr>
        <w:spacing w:after="60"/>
      </w:pPr>
      <w:r>
        <w:t xml:space="preserve">Keep async communication clear and complete enough that people in other time zones aren't blocked waiting on clarification.</w:t>
      </w:r>
    </w:p>
    <w:p>
      <w:pPr>
        <w:pStyle w:val="Heading1"/>
        <w:spacing w:after="150" w:before="300"/>
      </w:pPr>
      <w:r>
        <w:t xml:space="preserve">9. Reporting a Concern</w:t>
      </w:r>
    </w:p>
    <w:p>
      <w:pPr>
        <w:spacing w:after="120"/>
      </w:pPr>
      <w:r>
        <w:t xml:space="preserve">Anyone who experiences or witnesses a violation of this Code of Conduct is encouraged to report it. Reports will be handled with discretion, taken seriously, and will not result in retaliation against the person raising the concern.</w:t>
      </w:r>
    </w:p>
    <w:p>
      <w:pPr>
        <w:pStyle w:val="ListParagraph"/>
        <w:numPr>
          <w:ilvl w:val="0"/>
          <w:numId w:val="2"/>
        </w:numPr>
        <w:spacing w:after="60"/>
      </w:pPr>
      <w:r>
        <w:t xml:space="preserve">In most cases, raise the concern with Bionka Randolph or Angela Tino.</w:t>
      </w:r>
    </w:p>
    <w:p>
      <w:pPr>
        <w:pStyle w:val="ListParagraph"/>
        <w:numPr>
          <w:ilvl w:val="0"/>
          <w:numId w:val="2"/>
        </w:numPr>
        <w:spacing w:after="60"/>
      </w:pPr>
      <w:r>
        <w:t xml:space="preserve">If the concern involves Bionka Randolph or Angela Tino directly, raise it with the other of the two, or with a Team Head not involved in the situation.</w:t>
      </w:r>
    </w:p>
    <w:p>
      <w:pPr>
        <w:shd w:fill="F2F0F7" w:color="auto" w:val="clear"/>
        <w:spacing w:after="160" w:before="100"/>
      </w:pPr>
      <w:r>
        <w:rPr>
          <w:i/>
          <w:iCs/>
          <w:color w:val="555555"/>
        </w:rPr>
        <w:t xml:space="preserve">Note: Canopi doesn't yet have a formal HR function or an external/anonymous reporting channel, given its current size. As the team grows, consider adding one — particularly an option for reporting concerns that involve either of the people who'd normally receive them.</w:t>
      </w:r>
    </w:p>
    <w:p>
      <w:pPr>
        <w:pStyle w:val="Heading1"/>
        <w:spacing w:after="150" w:before="300"/>
      </w:pPr>
      <w:r>
        <w:t xml:space="preserve">10. Enforcement</w:t>
      </w:r>
    </w:p>
    <w:p>
      <w:pPr>
        <w:spacing w:after="120"/>
      </w:pPr>
      <w:r>
        <w:t xml:space="preserve">Responses to a violation of this Code of Conduct will be proportionate to what happened, and may range from a direct conversation and coaching, up to and including termination, depending on severity and any pattern of repeated conduct. Bionka Randolph is accountable for how violations are ultimately handled.</w:t>
      </w:r>
    </w:p>
    <w:p>
      <w:pPr>
        <w:pStyle w:val="Heading1"/>
        <w:spacing w:after="150" w:before="300"/>
      </w:pPr>
      <w:r>
        <w:t xml:space="preserve">Related Documents</w:t>
      </w:r>
    </w:p>
    <w:p>
      <w:pPr>
        <w:pStyle w:val="ListParagraph"/>
        <w:numPr>
          <w:ilvl w:val="0"/>
          <w:numId w:val="2"/>
        </w:numPr>
        <w:spacing w:after="60"/>
      </w:pPr>
      <w:r>
        <w:t xml:space="preserve">Employee Handbook (Equal Opportunity, Confidentiality &amp; IP, Acceptable Use of Company Technology)</w:t>
      </w:r>
    </w:p>
    <w:p>
      <w:pPr>
        <w:pStyle w:val="ListParagraph"/>
        <w:numPr>
          <w:ilvl w:val="0"/>
          <w:numId w:val="2"/>
        </w:numPr>
        <w:spacing w:after="60"/>
      </w:pPr>
      <w:r>
        <w:t xml:space="preserve">Offboarding SOP</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Inter" w:cs="Inter" w:eastAsia="Inter" w:hAnsi="Inter"/>
      <w:b/>
      <w:bCs/>
      <w:color w:val="2D005D"/>
      <w:sz w:val="36"/>
      <w:szCs w:val="36"/>
    </w:rPr>
  </w:style>
  <w:style w:type="paragraph" w:styleId="Heading1">
    <w:name w:val="Heading 1"/>
    <w:basedOn w:val="Normal"/>
    <w:next w:val="Normal"/>
    <w:qFormat/>
    <w:rPr>
      <w:rFonts w:ascii="Inter" w:cs="Inter" w:eastAsia="Inter" w:hAnsi="Inter"/>
      <w:b/>
      <w:bCs/>
      <w:color w:val="2D00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60b33f16aaf99bca7a703d5b3fb4cfe7f4f4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2026-07-22T05:17:38.539Z</dcterms:created>
  <dcterms:modified xsi:type="dcterms:W3CDTF">2026-07-22T05:17:38.560Z</dcterms:modified>
</cp:coreProperties>
</file>

<file path=docProps/custom.xml><?xml version="1.0" encoding="utf-8"?>
<Properties xmlns="http://schemas.openxmlformats.org/officeDocument/2006/custom-properties" xmlns:vt="http://schemas.openxmlformats.org/officeDocument/2006/docPropsVTypes"/>
</file>