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p>
      <w:pPr>
        <w:pStyle w:val="Title"/>
        <w:spacing w:after="100"/>
      </w:pPr>
      <w:r>
        <w:t xml:space="preserve">Offboarding SOP</w:t>
      </w:r>
    </w:p>
    <w:p>
      <w:pPr>
        <w:spacing w:after="60"/>
      </w:pPr>
      <w:r>
        <w:rPr>
          <w:b/>
          <w:bCs/>
        </w:rPr>
        <w:t xml:space="preserve">Process Owner: </w:t>
      </w:r>
      <w:r>
        <w:t xml:space="preserve">Angela Tino, Executive Operations Lead</w:t>
      </w:r>
    </w:p>
    <w:p>
      <w:pPr>
        <w:spacing w:after="60"/>
      </w:pPr>
      <w:r>
        <w:rPr>
          <w:b/>
          <w:bCs/>
        </w:rPr>
        <w:t xml:space="preserve">Accountable Executive: </w:t>
      </w:r>
      <w:r>
        <w:t xml:space="preserve">Bionka Randolph, CEO/Founder</w:t>
      </w:r>
    </w:p>
    <w:p>
      <w:pPr>
        <w:spacing w:after="60"/>
      </w:pPr>
      <w:r>
        <w:rPr>
          <w:b/>
          <w:bCs/>
        </w:rPr>
        <w:t xml:space="preserve">Last Updated: </w:t>
      </w:r>
      <w:r>
        <w:t xml:space="preserve">July 22, 2026</w:t>
      </w:r>
    </w:p>
    <w:p>
      <w:pPr>
        <w:spacing w:after="60"/>
      </w:pPr>
      <w:r>
        <w:rPr>
          <w:b/>
          <w:bCs/>
        </w:rPr>
        <w:t xml:space="preserve">Review Cadence: </w:t>
      </w:r>
      <w:r>
        <w:t xml:space="preserve">Quarterly, or as team size/structure changes</w:t>
      </w:r>
    </w:p>
    <w:p>
      <w:pPr>
        <w:pBdr>
          <w:bottom w:val="single" w:color="CCCCCC" w:sz="6"/>
        </w:pBdr>
        <w:spacing w:after="200"/>
      </w:pPr>
    </w:p>
    <w:p>
      <w:pPr>
        <w:pStyle w:val="Heading1"/>
        <w:spacing w:after="150" w:before="300"/>
      </w:pPr>
      <w:r>
        <w:t xml:space="preserve">Purpose</w:t>
      </w:r>
    </w:p>
    <w:p>
      <w:pPr>
        <w:spacing w:after="120"/>
      </w:pPr>
      <w:r>
        <w:t xml:space="preserve">This SOP documents how Canopi handles an employee's departure — whether by resignation or involuntary termination — covering notice, exit interview, equipment and access revocation, and closing out company records, so every departure is handled consistently and securely.</w:t>
      </w:r>
    </w:p>
    <w:p>
      <w:pPr>
        <w:pStyle w:val="Heading1"/>
        <w:spacing w:after="150" w:before="300"/>
      </w:pPr>
      <w:r>
        <w:t xml:space="preserve">Scope</w:t>
      </w:r>
    </w:p>
    <w:p>
      <w:pPr>
        <w:spacing w:after="120"/>
      </w:pPr>
      <w:r>
        <w:t xml:space="preserve">Begins once Bionka Randolph confirms an employee's departure (resignation or termination) and their last day. Ends once all equipment and access is recovered, records are updated, and the exit interview is complete. Does not cover the hiring or onboarding process — see the Hiring &amp; Recruitment SOP and New Hire Onboarding SOP for those.</w:t>
      </w:r>
    </w:p>
    <w:p>
      <w:pPr>
        <w:spacing w:after="120"/>
      </w:pPr>
      <w:r>
        <w:rPr>
          <w:i/>
          <w:iCs/>
        </w:rPr>
        <w:t xml:space="preserve">Note: Exit interviews are being formalized for the first time with this SOP; there is no prior process to reference — refine the format as real interviews are conducted.</w:t>
      </w:r>
    </w:p>
    <w:p>
      <w:pPr>
        <w:pStyle w:val="Heading1"/>
        <w:spacing w:after="150" w:before="300"/>
      </w:pPr>
      <w:r>
        <w:t xml:space="preserve">Team Reference</w:t>
      </w:r>
    </w:p>
    <w:p>
      <w:pPr>
        <w:pStyle w:val="ListParagraph"/>
        <w:numPr>
          <w:ilvl w:val="0"/>
          <w:numId w:val="2"/>
        </w:numPr>
        <w:spacing w:after="60"/>
      </w:pPr>
      <w:r>
        <w:t xml:space="preserve">Executive Team: Bionka Randolph (CEO/Founder), Angela Tino (Executive Operations Lead)</w:t>
      </w:r>
    </w:p>
    <w:p>
      <w:pPr>
        <w:pStyle w:val="ListParagraph"/>
        <w:numPr>
          <w:ilvl w:val="0"/>
          <w:numId w:val="2"/>
        </w:numPr>
        <w:spacing w:after="60"/>
      </w:pPr>
      <w:r>
        <w:t xml:space="preserve">Engineering Team: Jagun Rimes (Head of Engineering), Alvin Chana (Software Engineer), John Dorlus (Senior Engineer)</w:t>
      </w:r>
    </w:p>
    <w:p>
      <w:pPr>
        <w:pStyle w:val="ListParagraph"/>
        <w:numPr>
          <w:ilvl w:val="0"/>
          <w:numId w:val="2"/>
        </w:numPr>
        <w:spacing w:after="60"/>
      </w:pPr>
      <w:r>
        <w:t xml:space="preserve">Product Team: Dixon Lin (Head of Product), Puja Khirodkar (Senior Product Manager), Sebastian Mesa (UI/UX Designer)</w:t>
      </w:r>
    </w:p>
    <w:p>
      <w:pPr>
        <w:pStyle w:val="Heading1"/>
        <w:spacing w:after="150" w:before="300"/>
      </w:pPr>
      <w:r>
        <w:t xml:space="preserve">RACI Matrix</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79"/>
        <w:gridCol w:w="2507"/>
        <w:gridCol w:w="2507"/>
        <w:gridCol w:w="2507"/>
      </w:tblGrid>
      <w:tr>
        <w:trPr>
          <w:tblHeader/>
        </w:trPr>
        <w:tc>
          <w:tcPr>
            <w:tcW w:type="dxa" w:w="3279"/>
            <w:shd w:fill="2D005D" w:color="auto" w:val="clear"/>
            <w:vAlign w:val="center"/>
          </w:tcPr>
          <w:p>
            <w:r>
              <w:rPr>
                <w:rFonts w:ascii="Inter" w:cs="Inter" w:eastAsia="Inter" w:hAnsi="Inter"/>
                <w:b/>
                <w:bCs/>
                <w:color w:val="FFFFFF"/>
                <w:sz w:val="18"/>
                <w:szCs w:val="18"/>
              </w:rPr>
              <w:t xml:space="preserve">Step</w:t>
            </w:r>
          </w:p>
        </w:tc>
        <w:tc>
          <w:tcPr>
            <w:tcW w:type="dxa" w:w="2507"/>
            <w:shd w:fill="2D005D" w:color="auto" w:val="clear"/>
            <w:vAlign w:val="center"/>
          </w:tcPr>
          <w:p>
            <w:r>
              <w:rPr>
                <w:rFonts w:ascii="Inter" w:cs="Inter" w:eastAsia="Inter" w:hAnsi="Inter"/>
                <w:b/>
                <w:bCs/>
                <w:color w:val="FFFFFF"/>
                <w:sz w:val="18"/>
                <w:szCs w:val="18"/>
              </w:rPr>
              <w:t xml:space="preserve">Responsible</w:t>
            </w:r>
          </w:p>
        </w:tc>
        <w:tc>
          <w:tcPr>
            <w:tcW w:type="dxa" w:w="2507"/>
            <w:shd w:fill="2D005D" w:color="auto" w:val="clear"/>
            <w:vAlign w:val="center"/>
          </w:tcPr>
          <w:p>
            <w:r>
              <w:rPr>
                <w:rFonts w:ascii="Inter" w:cs="Inter" w:eastAsia="Inter" w:hAnsi="Inter"/>
                <w:b/>
                <w:bCs/>
                <w:color w:val="FFFFFF"/>
                <w:sz w:val="18"/>
                <w:szCs w:val="18"/>
              </w:rPr>
              <w:t xml:space="preserve">Accountable</w:t>
            </w:r>
          </w:p>
        </w:tc>
        <w:tc>
          <w:tcPr>
            <w:tcW w:type="dxa" w:w="2507"/>
            <w:shd w:fill="2D005D" w:color="auto" w:val="clear"/>
            <w:vAlign w:val="center"/>
          </w:tcPr>
          <w:p>
            <w:r>
              <w:rPr>
                <w:rFonts w:ascii="Inter" w:cs="Inter" w:eastAsia="Inter" w:hAnsi="Inter"/>
                <w:b/>
                <w:bCs/>
                <w:color w:val="FFFFFF"/>
                <w:sz w:val="18"/>
                <w:szCs w:val="18"/>
              </w:rPr>
              <w:t xml:space="preserve">Informed</w:t>
            </w:r>
          </w:p>
        </w:tc>
      </w:tr>
      <w:tr>
        <w:tc>
          <w:tcPr>
            <w:tcW w:type="dxa" w:w="3279"/>
            <w:vAlign w:val="center"/>
          </w:tcPr>
          <w:p>
            <w:r>
              <w:rPr>
                <w:rFonts w:ascii="Inter" w:cs="Inter" w:eastAsia="Inter" w:hAnsi="Inter"/>
                <w:b w:val="false"/>
                <w:bCs w:val="false"/>
                <w:color w:val="000000"/>
                <w:sz w:val="18"/>
                <w:szCs w:val="18"/>
              </w:rPr>
              <w:t xml:space="preserve">Notice of departure / termination decision</w:t>
            </w:r>
          </w:p>
        </w:tc>
        <w:tc>
          <w:tcPr>
            <w:tcW w:type="dxa" w:w="2507"/>
            <w:vAlign w:val="center"/>
          </w:tcPr>
          <w:p>
            <w:r>
              <w:rPr>
                <w:rFonts w:ascii="Inter" w:cs="Inter" w:eastAsia="Inter" w:hAnsi="Inter"/>
                <w:b w:val="false"/>
                <w:bCs w:val="false"/>
                <w:color w:val="000000"/>
                <w:sz w:val="18"/>
                <w:szCs w:val="18"/>
              </w:rPr>
              <w:t xml:space="preserve">Employee (resignation) or Bionka Randolph (termination)</w:t>
            </w:r>
          </w:p>
        </w:tc>
        <w:tc>
          <w:tcPr>
            <w:tcW w:type="dxa" w:w="2507"/>
            <w:vAlign w:val="center"/>
          </w:tcPr>
          <w:p>
            <w:r>
              <w:rPr>
                <w:rFonts w:ascii="Inter" w:cs="Inter" w:eastAsia="Inter" w:hAnsi="Inter"/>
                <w:b w:val="false"/>
                <w:bCs w:val="false"/>
                <w:color w:val="000000"/>
                <w:sz w:val="18"/>
                <w:szCs w:val="18"/>
              </w:rPr>
              <w:t xml:space="preserve">Bionka Randolph</w:t>
            </w:r>
          </w:p>
        </w:tc>
        <w:tc>
          <w:tcPr>
            <w:tcW w:type="dxa" w:w="2507"/>
            <w:vAlign w:val="center"/>
          </w:tcPr>
          <w:p>
            <w:r>
              <w:rPr>
                <w:rFonts w:ascii="Inter" w:cs="Inter" w:eastAsia="Inter" w:hAnsi="Inter"/>
                <w:b w:val="false"/>
                <w:bCs w:val="false"/>
                <w:color w:val="000000"/>
                <w:sz w:val="18"/>
                <w:szCs w:val="18"/>
              </w:rPr>
              <w:t xml:space="preserve">Angela Tino</w:t>
            </w:r>
          </w:p>
        </w:tc>
      </w:tr>
      <w:tr>
        <w:tc>
          <w:tcPr>
            <w:tcW w:type="dxa" w:w="3279"/>
            <w:vAlign w:val="center"/>
          </w:tcPr>
          <w:p>
            <w:r>
              <w:rPr>
                <w:rFonts w:ascii="Inter" w:cs="Inter" w:eastAsia="Inter" w:hAnsi="Inter"/>
                <w:b w:val="false"/>
                <w:bCs w:val="false"/>
                <w:color w:val="000000"/>
                <w:sz w:val="18"/>
                <w:szCs w:val="18"/>
              </w:rPr>
              <w:t xml:space="preserve">Confirm last day &amp; offboarding trigger</w:t>
            </w:r>
          </w:p>
        </w:tc>
        <w:tc>
          <w:tcPr>
            <w:tcW w:type="dxa" w:w="2507"/>
            <w:vAlign w:val="center"/>
          </w:tcPr>
          <w:p>
            <w:r>
              <w:rPr>
                <w:rFonts w:ascii="Inter" w:cs="Inter" w:eastAsia="Inter" w:hAnsi="Inter"/>
                <w:b w:val="false"/>
                <w:bCs w:val="false"/>
                <w:color w:val="000000"/>
                <w:sz w:val="18"/>
                <w:szCs w:val="18"/>
              </w:rPr>
              <w:t xml:space="preserve">Bionka Randolph → Angela Tino</w:t>
            </w:r>
          </w:p>
        </w:tc>
        <w:tc>
          <w:tcPr>
            <w:tcW w:type="dxa" w:w="2507"/>
            <w:vAlign w:val="center"/>
          </w:tcPr>
          <w:p>
            <w:r>
              <w:rPr>
                <w:rFonts w:ascii="Inter" w:cs="Inter" w:eastAsia="Inter" w:hAnsi="Inter"/>
                <w:b w:val="false"/>
                <w:bCs w:val="false"/>
                <w:color w:val="000000"/>
                <w:sz w:val="18"/>
                <w:szCs w:val="18"/>
              </w:rPr>
              <w:t xml:space="preserve">Bionka Randolph</w:t>
            </w:r>
          </w:p>
        </w:tc>
        <w:tc>
          <w:tcPr>
            <w:tcW w:type="dxa" w:w="2507"/>
            <w:vAlign w:val="center"/>
          </w:tcPr>
          <w:p>
            <w:r>
              <w:rPr>
                <w:rFonts w:ascii="Inter" w:cs="Inter" w:eastAsia="Inter" w:hAnsi="Inter"/>
                <w:b w:val="false"/>
                <w:bCs w:val="false"/>
                <w:color w:val="000000"/>
                <w:sz w:val="18"/>
                <w:szCs w:val="18"/>
              </w:rPr>
              <w:t xml:space="preserve">—</w:t>
            </w:r>
          </w:p>
        </w:tc>
      </w:tr>
      <w:tr>
        <w:tc>
          <w:tcPr>
            <w:tcW w:type="dxa" w:w="3279"/>
            <w:vAlign w:val="center"/>
          </w:tcPr>
          <w:p>
            <w:r>
              <w:rPr>
                <w:rFonts w:ascii="Inter" w:cs="Inter" w:eastAsia="Inter" w:hAnsi="Inter"/>
                <w:b w:val="false"/>
                <w:bCs w:val="false"/>
                <w:color w:val="000000"/>
                <w:sz w:val="18"/>
                <w:szCs w:val="18"/>
              </w:rPr>
              <w:t xml:space="preserve">Schedule exit interview</w:t>
            </w:r>
          </w:p>
        </w:tc>
        <w:tc>
          <w:tcPr>
            <w:tcW w:type="dxa" w:w="2507"/>
            <w:vAlign w:val="center"/>
          </w:tcPr>
          <w:p>
            <w:r>
              <w:rPr>
                <w:rFonts w:ascii="Inter" w:cs="Inter" w:eastAsia="Inter" w:hAnsi="Inter"/>
                <w:b w:val="false"/>
                <w:bCs w:val="false"/>
                <w:color w:val="000000"/>
                <w:sz w:val="18"/>
                <w:szCs w:val="18"/>
              </w:rPr>
              <w:t xml:space="preserve">Angela Tino</w:t>
            </w:r>
          </w:p>
        </w:tc>
        <w:tc>
          <w:tcPr>
            <w:tcW w:type="dxa" w:w="2507"/>
            <w:vAlign w:val="center"/>
          </w:tcPr>
          <w:p>
            <w:r>
              <w:rPr>
                <w:rFonts w:ascii="Inter" w:cs="Inter" w:eastAsia="Inter" w:hAnsi="Inter"/>
                <w:b w:val="false"/>
                <w:bCs w:val="false"/>
                <w:color w:val="000000"/>
                <w:sz w:val="18"/>
                <w:szCs w:val="18"/>
              </w:rPr>
              <w:t xml:space="preserve">Bionka Randolph</w:t>
            </w:r>
          </w:p>
        </w:tc>
        <w:tc>
          <w:tcPr>
            <w:tcW w:type="dxa" w:w="2507"/>
            <w:vAlign w:val="center"/>
          </w:tcPr>
          <w:p>
            <w:r>
              <w:rPr>
                <w:rFonts w:ascii="Inter" w:cs="Inter" w:eastAsia="Inter" w:hAnsi="Inter"/>
                <w:b w:val="false"/>
                <w:bCs w:val="false"/>
                <w:color w:val="000000"/>
                <w:sz w:val="18"/>
                <w:szCs w:val="18"/>
              </w:rPr>
              <w:t xml:space="preserve">Bionka Randolph</w:t>
            </w:r>
          </w:p>
        </w:tc>
      </w:tr>
      <w:tr>
        <w:tc>
          <w:tcPr>
            <w:tcW w:type="dxa" w:w="3279"/>
            <w:vAlign w:val="center"/>
          </w:tcPr>
          <w:p>
            <w:r>
              <w:rPr>
                <w:rFonts w:ascii="Inter" w:cs="Inter" w:eastAsia="Inter" w:hAnsi="Inter"/>
                <w:b w:val="false"/>
                <w:bCs w:val="false"/>
                <w:color w:val="000000"/>
                <w:sz w:val="18"/>
                <w:szCs w:val="18"/>
              </w:rPr>
              <w:t xml:space="preserve">Conduct exit interview</w:t>
            </w:r>
          </w:p>
        </w:tc>
        <w:tc>
          <w:tcPr>
            <w:tcW w:type="dxa" w:w="2507"/>
            <w:vAlign w:val="center"/>
          </w:tcPr>
          <w:p>
            <w:r>
              <w:rPr>
                <w:rFonts w:ascii="Inter" w:cs="Inter" w:eastAsia="Inter" w:hAnsi="Inter"/>
                <w:b w:val="false"/>
                <w:bCs w:val="false"/>
                <w:color w:val="000000"/>
                <w:sz w:val="18"/>
                <w:szCs w:val="18"/>
              </w:rPr>
              <w:t xml:space="preserve">Bionka Randolph</w:t>
            </w:r>
          </w:p>
        </w:tc>
        <w:tc>
          <w:tcPr>
            <w:tcW w:type="dxa" w:w="2507"/>
            <w:vAlign w:val="center"/>
          </w:tcPr>
          <w:p>
            <w:r>
              <w:rPr>
                <w:rFonts w:ascii="Inter" w:cs="Inter" w:eastAsia="Inter" w:hAnsi="Inter"/>
                <w:b w:val="false"/>
                <w:bCs w:val="false"/>
                <w:color w:val="000000"/>
                <w:sz w:val="18"/>
                <w:szCs w:val="18"/>
              </w:rPr>
              <w:t xml:space="preserve">Bionka Randolph</w:t>
            </w:r>
          </w:p>
        </w:tc>
        <w:tc>
          <w:tcPr>
            <w:tcW w:type="dxa" w:w="2507"/>
            <w:vAlign w:val="center"/>
          </w:tcPr>
          <w:p>
            <w:r>
              <w:rPr>
                <w:rFonts w:ascii="Inter" w:cs="Inter" w:eastAsia="Inter" w:hAnsi="Inter"/>
                <w:b w:val="false"/>
                <w:bCs w:val="false"/>
                <w:color w:val="000000"/>
                <w:sz w:val="18"/>
                <w:szCs w:val="18"/>
              </w:rPr>
              <w:t xml:space="preserve">Angela Tino</w:t>
            </w:r>
          </w:p>
        </w:tc>
      </w:tr>
      <w:tr>
        <w:tc>
          <w:tcPr>
            <w:tcW w:type="dxa" w:w="3279"/>
            <w:vAlign w:val="center"/>
          </w:tcPr>
          <w:p>
            <w:r>
              <w:rPr>
                <w:rFonts w:ascii="Inter" w:cs="Inter" w:eastAsia="Inter" w:hAnsi="Inter"/>
                <w:b w:val="false"/>
                <w:bCs w:val="false"/>
                <w:color w:val="000000"/>
                <w:sz w:val="18"/>
                <w:szCs w:val="18"/>
              </w:rPr>
              <w:t xml:space="preserve">Collect equipment &amp; revoke general access (Slack, email, tools)</w:t>
            </w:r>
          </w:p>
        </w:tc>
        <w:tc>
          <w:tcPr>
            <w:tcW w:type="dxa" w:w="2507"/>
            <w:vAlign w:val="center"/>
          </w:tcPr>
          <w:p>
            <w:r>
              <w:rPr>
                <w:rFonts w:ascii="Inter" w:cs="Inter" w:eastAsia="Inter" w:hAnsi="Inter"/>
                <w:b w:val="false"/>
                <w:bCs w:val="false"/>
                <w:color w:val="000000"/>
                <w:sz w:val="18"/>
                <w:szCs w:val="18"/>
              </w:rPr>
              <w:t xml:space="preserve">Bionka Randolph</w:t>
            </w:r>
          </w:p>
        </w:tc>
        <w:tc>
          <w:tcPr>
            <w:tcW w:type="dxa" w:w="2507"/>
            <w:vAlign w:val="center"/>
          </w:tcPr>
          <w:p>
            <w:r>
              <w:rPr>
                <w:rFonts w:ascii="Inter" w:cs="Inter" w:eastAsia="Inter" w:hAnsi="Inter"/>
                <w:b w:val="false"/>
                <w:bCs w:val="false"/>
                <w:color w:val="000000"/>
                <w:sz w:val="18"/>
                <w:szCs w:val="18"/>
              </w:rPr>
              <w:t xml:space="preserve">Bionka Randolph</w:t>
            </w:r>
          </w:p>
        </w:tc>
        <w:tc>
          <w:tcPr>
            <w:tcW w:type="dxa" w:w="2507"/>
            <w:vAlign w:val="center"/>
          </w:tcPr>
          <w:p>
            <w:r>
              <w:rPr>
                <w:rFonts w:ascii="Inter" w:cs="Inter" w:eastAsia="Inter" w:hAnsi="Inter"/>
                <w:b w:val="false"/>
                <w:bCs w:val="false"/>
                <w:color w:val="000000"/>
                <w:sz w:val="18"/>
                <w:szCs w:val="18"/>
              </w:rPr>
              <w:t xml:space="preserve">Angela Tino</w:t>
            </w:r>
          </w:p>
        </w:tc>
      </w:tr>
      <w:tr>
        <w:tc>
          <w:tcPr>
            <w:tcW w:type="dxa" w:w="3279"/>
            <w:vAlign w:val="center"/>
          </w:tcPr>
          <w:p>
            <w:r>
              <w:rPr>
                <w:rFonts w:ascii="Inter" w:cs="Inter" w:eastAsia="Inter" w:hAnsi="Inter"/>
                <w:b w:val="false"/>
                <w:bCs w:val="false"/>
                <w:color w:val="000000"/>
                <w:sz w:val="18"/>
                <w:szCs w:val="18"/>
              </w:rPr>
              <w:t xml:space="preserve">Revoke engineering-specific access (repos, dev environments)</w:t>
            </w:r>
          </w:p>
        </w:tc>
        <w:tc>
          <w:tcPr>
            <w:tcW w:type="dxa" w:w="2507"/>
            <w:vAlign w:val="center"/>
          </w:tcPr>
          <w:p>
            <w:r>
              <w:rPr>
                <w:rFonts w:ascii="Inter" w:cs="Inter" w:eastAsia="Inter" w:hAnsi="Inter"/>
                <w:b w:val="false"/>
                <w:bCs w:val="false"/>
                <w:color w:val="000000"/>
                <w:sz w:val="18"/>
                <w:szCs w:val="18"/>
              </w:rPr>
              <w:t xml:space="preserve">Jagun Rimes</w:t>
            </w:r>
          </w:p>
        </w:tc>
        <w:tc>
          <w:tcPr>
            <w:tcW w:type="dxa" w:w="2507"/>
            <w:vAlign w:val="center"/>
          </w:tcPr>
          <w:p>
            <w:r>
              <w:rPr>
                <w:rFonts w:ascii="Inter" w:cs="Inter" w:eastAsia="Inter" w:hAnsi="Inter"/>
                <w:b w:val="false"/>
                <w:bCs w:val="false"/>
                <w:color w:val="000000"/>
                <w:sz w:val="18"/>
                <w:szCs w:val="18"/>
              </w:rPr>
              <w:t xml:space="preserve">Bionka Randolph</w:t>
            </w:r>
          </w:p>
        </w:tc>
        <w:tc>
          <w:tcPr>
            <w:tcW w:type="dxa" w:w="2507"/>
            <w:vAlign w:val="center"/>
          </w:tcPr>
          <w:p>
            <w:r>
              <w:rPr>
                <w:rFonts w:ascii="Inter" w:cs="Inter" w:eastAsia="Inter" w:hAnsi="Inter"/>
                <w:b w:val="false"/>
                <w:bCs w:val="false"/>
                <w:color w:val="000000"/>
                <w:sz w:val="18"/>
                <w:szCs w:val="18"/>
              </w:rPr>
              <w:t xml:space="preserve">Angela Tino</w:t>
            </w:r>
          </w:p>
        </w:tc>
      </w:tr>
      <w:tr>
        <w:tc>
          <w:tcPr>
            <w:tcW w:type="dxa" w:w="3279"/>
            <w:vAlign w:val="center"/>
          </w:tcPr>
          <w:p>
            <w:r>
              <w:rPr>
                <w:rFonts w:ascii="Inter" w:cs="Inter" w:eastAsia="Inter" w:hAnsi="Inter"/>
                <w:b w:val="false"/>
                <w:bCs w:val="false"/>
                <w:color w:val="000000"/>
                <w:sz w:val="18"/>
                <w:szCs w:val="18"/>
              </w:rPr>
              <w:t xml:space="preserve">Revoke product-specific access (Figma, design tools)</w:t>
            </w:r>
          </w:p>
        </w:tc>
        <w:tc>
          <w:tcPr>
            <w:tcW w:type="dxa" w:w="2507"/>
            <w:vAlign w:val="center"/>
          </w:tcPr>
          <w:p>
            <w:r>
              <w:rPr>
                <w:rFonts w:ascii="Inter" w:cs="Inter" w:eastAsia="Inter" w:hAnsi="Inter"/>
                <w:b w:val="false"/>
                <w:bCs w:val="false"/>
                <w:color w:val="000000"/>
                <w:sz w:val="18"/>
                <w:szCs w:val="18"/>
              </w:rPr>
              <w:t xml:space="preserve">Dixon Lin</w:t>
            </w:r>
          </w:p>
        </w:tc>
        <w:tc>
          <w:tcPr>
            <w:tcW w:type="dxa" w:w="2507"/>
            <w:vAlign w:val="center"/>
          </w:tcPr>
          <w:p>
            <w:r>
              <w:rPr>
                <w:rFonts w:ascii="Inter" w:cs="Inter" w:eastAsia="Inter" w:hAnsi="Inter"/>
                <w:b w:val="false"/>
                <w:bCs w:val="false"/>
                <w:color w:val="000000"/>
                <w:sz w:val="18"/>
                <w:szCs w:val="18"/>
              </w:rPr>
              <w:t xml:space="preserve">Bionka Randolph</w:t>
            </w:r>
          </w:p>
        </w:tc>
        <w:tc>
          <w:tcPr>
            <w:tcW w:type="dxa" w:w="2507"/>
            <w:vAlign w:val="center"/>
          </w:tcPr>
          <w:p>
            <w:r>
              <w:rPr>
                <w:rFonts w:ascii="Inter" w:cs="Inter" w:eastAsia="Inter" w:hAnsi="Inter"/>
                <w:b w:val="false"/>
                <w:bCs w:val="false"/>
                <w:color w:val="000000"/>
                <w:sz w:val="18"/>
                <w:szCs w:val="18"/>
              </w:rPr>
              <w:t xml:space="preserve">Angela Tino</w:t>
            </w:r>
          </w:p>
        </w:tc>
      </w:tr>
      <w:tr>
        <w:tc>
          <w:tcPr>
            <w:tcW w:type="dxa" w:w="3279"/>
            <w:vAlign w:val="center"/>
          </w:tcPr>
          <w:p>
            <w:r>
              <w:rPr>
                <w:rFonts w:ascii="Inter" w:cs="Inter" w:eastAsia="Inter" w:hAnsi="Inter"/>
                <w:b w:val="false"/>
                <w:bCs w:val="false"/>
                <w:color w:val="000000"/>
                <w:sz w:val="18"/>
                <w:szCs w:val="18"/>
              </w:rPr>
              <w:t xml:space="preserve">Update directory, org chart, meeting invites</w:t>
            </w:r>
          </w:p>
        </w:tc>
        <w:tc>
          <w:tcPr>
            <w:tcW w:type="dxa" w:w="2507"/>
            <w:vAlign w:val="center"/>
          </w:tcPr>
          <w:p>
            <w:r>
              <w:rPr>
                <w:rFonts w:ascii="Inter" w:cs="Inter" w:eastAsia="Inter" w:hAnsi="Inter"/>
                <w:b w:val="false"/>
                <w:bCs w:val="false"/>
                <w:color w:val="000000"/>
                <w:sz w:val="18"/>
                <w:szCs w:val="18"/>
              </w:rPr>
              <w:t xml:space="preserve">Angela Tino</w:t>
            </w:r>
          </w:p>
        </w:tc>
        <w:tc>
          <w:tcPr>
            <w:tcW w:type="dxa" w:w="2507"/>
            <w:vAlign w:val="center"/>
          </w:tcPr>
          <w:p>
            <w:r>
              <w:rPr>
                <w:rFonts w:ascii="Inter" w:cs="Inter" w:eastAsia="Inter" w:hAnsi="Inter"/>
                <w:b w:val="false"/>
                <w:bCs w:val="false"/>
                <w:color w:val="000000"/>
                <w:sz w:val="18"/>
                <w:szCs w:val="18"/>
              </w:rPr>
              <w:t xml:space="preserve">Angela Tino</w:t>
            </w:r>
          </w:p>
        </w:tc>
        <w:tc>
          <w:tcPr>
            <w:tcW w:type="dxa" w:w="2507"/>
            <w:vAlign w:val="center"/>
          </w:tcPr>
          <w:p>
            <w:r>
              <w:rPr>
                <w:rFonts w:ascii="Inter" w:cs="Inter" w:eastAsia="Inter" w:hAnsi="Inter"/>
                <w:b w:val="false"/>
                <w:bCs w:val="false"/>
                <w:color w:val="000000"/>
                <w:sz w:val="18"/>
                <w:szCs w:val="18"/>
              </w:rPr>
              <w:t xml:space="preserve">—</w:t>
            </w:r>
          </w:p>
        </w:tc>
      </w:tr>
      <w:tr>
        <w:tc>
          <w:tcPr>
            <w:tcW w:type="dxa" w:w="3279"/>
            <w:vAlign w:val="center"/>
          </w:tcPr>
          <w:p>
            <w:r>
              <w:rPr>
                <w:rFonts w:ascii="Inter" w:cs="Inter" w:eastAsia="Inter" w:hAnsi="Inter"/>
                <w:b w:val="false"/>
                <w:bCs w:val="false"/>
                <w:color w:val="000000"/>
                <w:sz w:val="18"/>
                <w:szCs w:val="18"/>
              </w:rPr>
              <w:t xml:space="preserve">Document final equity status</w:t>
            </w:r>
          </w:p>
        </w:tc>
        <w:tc>
          <w:tcPr>
            <w:tcW w:type="dxa" w:w="2507"/>
            <w:vAlign w:val="center"/>
          </w:tcPr>
          <w:p>
            <w:r>
              <w:rPr>
                <w:rFonts w:ascii="Inter" w:cs="Inter" w:eastAsia="Inter" w:hAnsi="Inter"/>
                <w:b w:val="false"/>
                <w:bCs w:val="false"/>
                <w:color w:val="000000"/>
                <w:sz w:val="18"/>
                <w:szCs w:val="18"/>
              </w:rPr>
              <w:t xml:space="preserve">Bionka Randolph</w:t>
            </w:r>
          </w:p>
        </w:tc>
        <w:tc>
          <w:tcPr>
            <w:tcW w:type="dxa" w:w="2507"/>
            <w:vAlign w:val="center"/>
          </w:tcPr>
          <w:p>
            <w:r>
              <w:rPr>
                <w:rFonts w:ascii="Inter" w:cs="Inter" w:eastAsia="Inter" w:hAnsi="Inter"/>
                <w:b w:val="false"/>
                <w:bCs w:val="false"/>
                <w:color w:val="000000"/>
                <w:sz w:val="18"/>
                <w:szCs w:val="18"/>
              </w:rPr>
              <w:t xml:space="preserve">Bionka Randolph</w:t>
            </w:r>
          </w:p>
        </w:tc>
        <w:tc>
          <w:tcPr>
            <w:tcW w:type="dxa" w:w="2507"/>
            <w:vAlign w:val="center"/>
          </w:tcPr>
          <w:p>
            <w:r>
              <w:rPr>
                <w:rFonts w:ascii="Inter" w:cs="Inter" w:eastAsia="Inter" w:hAnsi="Inter"/>
                <w:b w:val="false"/>
                <w:bCs w:val="false"/>
                <w:color w:val="000000"/>
                <w:sz w:val="18"/>
                <w:szCs w:val="18"/>
              </w:rPr>
              <w:t xml:space="preserve">Angela Tino</w:t>
            </w:r>
          </w:p>
        </w:tc>
      </w:tr>
    </w:tbl>
    <w:p>
      <w:pPr>
        <w:pStyle w:val="Heading1"/>
        <w:spacing w:after="150" w:before="300"/>
      </w:pPr>
      <w:r>
        <w:t xml:space="preserve">Process Flow (Summary)</w:t>
      </w:r>
    </w:p>
    <w:p>
      <w:pPr>
        <w:pStyle w:val="ListParagraph"/>
        <w:numPr>
          <w:ilvl w:val="0"/>
          <w:numId w:val="2"/>
        </w:numPr>
        <w:spacing w:after="60"/>
      </w:pPr>
      <w:r>
        <w:t xml:space="preserve">1. Employee gives notice of resignation (at least 1 week, where possible) or Bionka Randolph makes an involuntary termination decision</w:t>
      </w:r>
    </w:p>
    <w:p>
      <w:pPr>
        <w:pStyle w:val="ListParagraph"/>
        <w:numPr>
          <w:ilvl w:val="0"/>
          <w:numId w:val="2"/>
        </w:numPr>
        <w:spacing w:after="60"/>
      </w:pPr>
      <w:r>
        <w:t xml:space="preserve">2. Bionka Randolph confirms the employee's last day and informs Angela Tino, triggering the offboarding process</w:t>
      </w:r>
    </w:p>
    <w:p>
      <w:pPr>
        <w:pStyle w:val="ListParagraph"/>
        <w:numPr>
          <w:ilvl w:val="0"/>
          <w:numId w:val="2"/>
        </w:numPr>
        <w:spacing w:after="60"/>
      </w:pPr>
      <w:r>
        <w:t xml:space="preserve">3. Angela Tino schedules an exit interview with the departing employee</w:t>
      </w:r>
    </w:p>
    <w:p>
      <w:pPr>
        <w:pStyle w:val="ListParagraph"/>
        <w:numPr>
          <w:ilvl w:val="0"/>
          <w:numId w:val="2"/>
        </w:numPr>
        <w:spacing w:after="60"/>
      </w:pPr>
      <w:r>
        <w:t xml:space="preserve">4. Bionka Randolph conducts the exit interview and documents notes</w:t>
      </w:r>
    </w:p>
    <w:p>
      <w:pPr>
        <w:pStyle w:val="ListParagraph"/>
        <w:numPr>
          <w:ilvl w:val="0"/>
          <w:numId w:val="2"/>
        </w:numPr>
        <w:spacing w:after="60"/>
      </w:pPr>
      <w:r>
        <w:t xml:space="preserve">5. Bionka Randolph collects company equipment (e.g. laptop) and revokes general access (Slack, email, company-wide tools)</w:t>
      </w:r>
    </w:p>
    <w:p>
      <w:pPr>
        <w:pStyle w:val="ListParagraph"/>
        <w:numPr>
          <w:ilvl w:val="0"/>
          <w:numId w:val="2"/>
        </w:numPr>
        <w:spacing w:after="60"/>
      </w:pPr>
      <w:r>
        <w:t xml:space="preserve">6. If departing from Engineering: Jagun Rimes revokes engineering-specific access (code repositories, dev environments)</w:t>
      </w:r>
    </w:p>
    <w:p>
      <w:pPr>
        <w:pStyle w:val="ListParagraph"/>
        <w:numPr>
          <w:ilvl w:val="0"/>
          <w:numId w:val="2"/>
        </w:numPr>
        <w:spacing w:after="60"/>
      </w:pPr>
      <w:r>
        <w:t xml:space="preserve">7. If departing from Product: Dixon Lin revokes product-specific access (Figma, design tools)</w:t>
      </w:r>
    </w:p>
    <w:p>
      <w:pPr>
        <w:pStyle w:val="ListParagraph"/>
        <w:numPr>
          <w:ilvl w:val="0"/>
          <w:numId w:val="2"/>
        </w:numPr>
        <w:spacing w:after="60"/>
      </w:pPr>
      <w:r>
        <w:t xml:space="preserve">8. Angela Tino updates the company directory, org chart, and removes the employee from recurring meeting invites</w:t>
      </w:r>
    </w:p>
    <w:p>
      <w:pPr>
        <w:pStyle w:val="ListParagraph"/>
        <w:numPr>
          <w:ilvl w:val="0"/>
          <w:numId w:val="2"/>
        </w:numPr>
        <w:spacing w:after="60"/>
      </w:pPr>
      <w:r>
        <w:t xml:space="preserve">9. Bionka Randolph documents the employee's final vested equity status for company records</w:t>
      </w:r>
    </w:p>
    <w:p>
      <w:pPr>
        <w:pStyle w:val="Heading1"/>
        <w:spacing w:after="150" w:before="300"/>
      </w:pPr>
      <w:r>
        <w:t xml:space="preserve">Detailed Steps</w:t>
      </w:r>
    </w:p>
    <w:p>
      <w:pPr>
        <w:pStyle w:val="Heading2"/>
        <w:spacing w:after="120" w:before="250"/>
      </w:pPr>
      <w:r>
        <w:t xml:space="preserve">Step 1: Notice of Departure</w:t>
      </w:r>
    </w:p>
    <w:p>
      <w:pPr>
        <w:spacing w:after="120"/>
      </w:pPr>
      <w:r>
        <w:rPr>
          <w:b w:val="false"/>
          <w:bCs w:val="false"/>
        </w:rPr>
        <w:t xml:space="preserve">Who: Employee (resignation) or Bionka Randolph (termination decision)</w:t>
      </w:r>
    </w:p>
    <w:p>
      <w:pPr>
        <w:spacing w:after="120"/>
      </w:pPr>
      <w:r>
        <w:rPr>
          <w:b w:val="false"/>
          <w:bCs w:val="false"/>
        </w:rPr>
        <w:t xml:space="preserve">How: For resignations, the employee is expected to give at least 1 week's notice where possible. For involuntary terminations, Bionka Randolph makes and communicates the decision directly.</w:t>
      </w:r>
    </w:p>
    <w:p>
      <w:pPr>
        <w:spacing w:after="120"/>
      </w:pPr>
      <w:r>
        <w:rPr>
          <w:b w:val="false"/>
          <w:bCs w:val="false"/>
        </w:rPr>
        <w:t xml:space="preserve">Output: Confirmed departure and last working day.</w:t>
      </w:r>
    </w:p>
    <w:p>
      <w:pPr>
        <w:pStyle w:val="Heading2"/>
        <w:spacing w:after="120" w:before="250"/>
      </w:pPr>
      <w:r>
        <w:t xml:space="preserve">Step 2: Confirm Last Day &amp; Trigger Offboarding</w:t>
      </w:r>
    </w:p>
    <w:p>
      <w:pPr>
        <w:spacing w:after="120"/>
      </w:pPr>
      <w:r>
        <w:rPr>
          <w:b w:val="false"/>
          <w:bCs w:val="false"/>
        </w:rPr>
        <w:t xml:space="preserve">Who: Bionka Randolph → Angela Tino</w:t>
      </w:r>
    </w:p>
    <w:p>
      <w:pPr>
        <w:spacing w:after="120"/>
      </w:pPr>
      <w:r>
        <w:rPr>
          <w:b w:val="false"/>
          <w:bCs w:val="false"/>
        </w:rPr>
        <w:t xml:space="preserve">How: Bionka informs Angela of the employee's last day and whether the departure is voluntary or involuntary, which triggers the remaining offboarding steps.</w:t>
      </w:r>
    </w:p>
    <w:p>
      <w:pPr>
        <w:spacing w:after="120"/>
      </w:pPr>
      <w:r>
        <w:rPr>
          <w:b w:val="false"/>
          <w:bCs w:val="false"/>
        </w:rPr>
        <w:t xml:space="preserve">Output: Offboarding timeline set.</w:t>
      </w:r>
    </w:p>
    <w:p>
      <w:pPr>
        <w:pStyle w:val="Heading2"/>
        <w:spacing w:after="120" w:before="250"/>
      </w:pPr>
      <w:r>
        <w:t xml:space="preserve">Step 3: Schedule Exit Interview</w:t>
      </w:r>
    </w:p>
    <w:p>
      <w:pPr>
        <w:spacing w:after="120"/>
      </w:pPr>
      <w:r>
        <w:rPr>
          <w:b w:val="false"/>
          <w:bCs w:val="false"/>
        </w:rPr>
        <w:t xml:space="preserve">Who: Angela Tino</w:t>
      </w:r>
    </w:p>
    <w:p>
      <w:pPr>
        <w:spacing w:after="120"/>
      </w:pPr>
      <w:r>
        <w:rPr>
          <w:b w:val="false"/>
          <w:bCs w:val="false"/>
        </w:rPr>
        <w:t xml:space="preserve">How: Angela schedules time between the departing employee and Bionka for an exit interview ahead of their last day, where circumstances allow.</w:t>
      </w:r>
    </w:p>
    <w:p>
      <w:pPr>
        <w:spacing w:after="120"/>
      </w:pPr>
      <w:r>
        <w:rPr>
          <w:b w:val="false"/>
          <w:bCs w:val="false"/>
        </w:rPr>
        <w:t xml:space="preserve">Output: Exit interview scheduled.</w:t>
      </w:r>
    </w:p>
    <w:p>
      <w:pPr>
        <w:pStyle w:val="Heading2"/>
        <w:spacing w:after="120" w:before="250"/>
      </w:pPr>
      <w:r>
        <w:t xml:space="preserve">Step 4: Conduct Exit Interview</w:t>
      </w:r>
    </w:p>
    <w:p>
      <w:pPr>
        <w:spacing w:after="120"/>
      </w:pPr>
      <w:r>
        <w:rPr>
          <w:b w:val="false"/>
          <w:bCs w:val="false"/>
        </w:rPr>
        <w:t xml:space="preserve">Who: Bionka Randolph</w:t>
      </w:r>
    </w:p>
    <w:p>
      <w:pPr>
        <w:spacing w:after="120"/>
      </w:pPr>
      <w:r>
        <w:rPr>
          <w:b w:val="false"/>
          <w:bCs w:val="false"/>
        </w:rPr>
        <w:t xml:space="preserve">How: Bionka conducts the exit interview, covering reason for departure, feedback on their experience at Canopi, and any outstanding concerns. Notes are documented for company records.</w:t>
      </w:r>
    </w:p>
    <w:p>
      <w:pPr>
        <w:spacing w:after="120"/>
      </w:pPr>
      <w:r>
        <w:rPr>
          <w:b w:val="false"/>
          <w:bCs w:val="false"/>
        </w:rPr>
        <w:t xml:space="preserve">Output: Exit interview notes on file.</w:t>
      </w:r>
    </w:p>
    <w:p>
      <w:pPr>
        <w:pStyle w:val="Heading2"/>
        <w:spacing w:after="120" w:before="250"/>
      </w:pPr>
      <w:r>
        <w:t xml:space="preserve">Step 5: Equipment Collection &amp; General Access Revocation</w:t>
      </w:r>
    </w:p>
    <w:p>
      <w:pPr>
        <w:spacing w:after="120"/>
      </w:pPr>
      <w:r>
        <w:rPr>
          <w:b w:val="false"/>
          <w:bCs w:val="false"/>
        </w:rPr>
        <w:t xml:space="preserve">Who: Bionka Randolph</w:t>
      </w:r>
    </w:p>
    <w:p>
      <w:pPr>
        <w:spacing w:after="120"/>
      </w:pPr>
      <w:r>
        <w:rPr>
          <w:b w:val="false"/>
          <w:bCs w:val="false"/>
        </w:rPr>
        <w:t xml:space="preserve">How: Bionka collects company equipment (e.g. laptop) and revokes general access including Slack, email, and company-wide tool accounts.</w:t>
      </w:r>
    </w:p>
    <w:p>
      <w:pPr>
        <w:spacing w:after="120"/>
      </w:pPr>
      <w:r>
        <w:rPr>
          <w:b w:val="false"/>
          <w:bCs w:val="false"/>
        </w:rPr>
        <w:t xml:space="preserve">Output: Equipment recovered; general access revoked.</w:t>
      </w:r>
    </w:p>
    <w:p>
      <w:pPr>
        <w:pStyle w:val="Heading2"/>
        <w:spacing w:after="120" w:before="250"/>
      </w:pPr>
      <w:r>
        <w:t xml:space="preserve">Step 6: Engineering-Specific Access Revocation</w:t>
      </w:r>
    </w:p>
    <w:p>
      <w:pPr>
        <w:spacing w:after="120"/>
      </w:pPr>
      <w:r>
        <w:rPr>
          <w:b w:val="false"/>
          <w:bCs w:val="false"/>
        </w:rPr>
        <w:t xml:space="preserve">Who: Jagun Rimes (Engineering departures only)</w:t>
      </w:r>
    </w:p>
    <w:p>
      <w:pPr>
        <w:spacing w:after="120"/>
      </w:pPr>
      <w:r>
        <w:rPr>
          <w:b w:val="false"/>
          <w:bCs w:val="false"/>
        </w:rPr>
        <w:t xml:space="preserve">How: Jagun revokes access to code repositories, dev environments, and any other engineering-specific systems.</w:t>
      </w:r>
    </w:p>
    <w:p>
      <w:pPr>
        <w:spacing w:after="120"/>
      </w:pPr>
      <w:r>
        <w:rPr>
          <w:b w:val="false"/>
          <w:bCs w:val="false"/>
        </w:rPr>
        <w:t xml:space="preserve">Output: Engineering systems access fully revoked.</w:t>
      </w:r>
    </w:p>
    <w:p>
      <w:pPr>
        <w:pStyle w:val="Heading2"/>
        <w:spacing w:after="120" w:before="250"/>
      </w:pPr>
      <w:r>
        <w:t xml:space="preserve">Step 7: Product-Specific Access Revocation</w:t>
      </w:r>
    </w:p>
    <w:p>
      <w:pPr>
        <w:spacing w:after="120"/>
      </w:pPr>
      <w:r>
        <w:rPr>
          <w:b w:val="false"/>
          <w:bCs w:val="false"/>
        </w:rPr>
        <w:t xml:space="preserve">Who: Dixon Lin (Product departures only)</w:t>
      </w:r>
    </w:p>
    <w:p>
      <w:pPr>
        <w:spacing w:after="120"/>
      </w:pPr>
      <w:r>
        <w:rPr>
          <w:b w:val="false"/>
          <w:bCs w:val="false"/>
        </w:rPr>
        <w:t xml:space="preserve">How: Dixon revokes access to Figma and any other product/design-specific tools.</w:t>
      </w:r>
    </w:p>
    <w:p>
      <w:pPr>
        <w:spacing w:after="120"/>
      </w:pPr>
      <w:r>
        <w:rPr>
          <w:b w:val="false"/>
          <w:bCs w:val="false"/>
        </w:rPr>
        <w:t xml:space="preserve">Output: Product/design systems access fully revoked.</w:t>
      </w:r>
    </w:p>
    <w:p>
      <w:pPr>
        <w:pStyle w:val="Heading2"/>
        <w:spacing w:after="120" w:before="250"/>
      </w:pPr>
      <w:r>
        <w:t xml:space="preserve">Step 8: Update Company Records</w:t>
      </w:r>
    </w:p>
    <w:p>
      <w:pPr>
        <w:spacing w:after="120"/>
      </w:pPr>
      <w:r>
        <w:rPr>
          <w:b w:val="false"/>
          <w:bCs w:val="false"/>
        </w:rPr>
        <w:t xml:space="preserve">Who: Angela Tino</w:t>
      </w:r>
    </w:p>
    <w:p>
      <w:pPr>
        <w:spacing w:after="120"/>
      </w:pPr>
      <w:r>
        <w:rPr>
          <w:b w:val="false"/>
          <w:bCs w:val="false"/>
        </w:rPr>
        <w:t xml:space="preserve">How: Angela removes the employee from the company directory, org chart, and recurring meeting invites.</w:t>
      </w:r>
    </w:p>
    <w:p>
      <w:pPr>
        <w:spacing w:after="120"/>
      </w:pPr>
      <w:r>
        <w:rPr>
          <w:b w:val="false"/>
          <w:bCs w:val="false"/>
        </w:rPr>
        <w:t xml:space="preserve">Output: Company records reflect the employee's departure.</w:t>
      </w:r>
    </w:p>
    <w:p>
      <w:pPr>
        <w:pStyle w:val="Heading2"/>
        <w:spacing w:after="120" w:before="250"/>
      </w:pPr>
      <w:r>
        <w:t xml:space="preserve">Step 9: Document Final Equity Status</w:t>
      </w:r>
    </w:p>
    <w:p>
      <w:pPr>
        <w:spacing w:after="120"/>
      </w:pPr>
      <w:r>
        <w:rPr>
          <w:b w:val="false"/>
          <w:bCs w:val="false"/>
        </w:rPr>
        <w:t xml:space="preserve">Who: Bionka Randolph</w:t>
      </w:r>
    </w:p>
    <w:p>
      <w:pPr>
        <w:spacing w:after="120"/>
      </w:pPr>
      <w:r>
        <w:rPr>
          <w:b w:val="false"/>
          <w:bCs w:val="false"/>
        </w:rPr>
        <w:t xml:space="preserve">How: Bionka documents the employee's vested equity position as of their last day for company records. Canopi does not currently pay salary/wages — compensation is equity-only with no current payout — so no final paycheck processing applies.</w:t>
      </w:r>
    </w:p>
    <w:p>
      <w:pPr>
        <w:spacing w:after="120"/>
      </w:pPr>
      <w:r>
        <w:rPr>
          <w:b w:val="false"/>
          <w:bCs w:val="false"/>
        </w:rPr>
        <w:t xml:space="preserve">Output: Equity status documented and closed out.</w:t>
      </w:r>
    </w:p>
    <w:p>
      <w:pPr>
        <w:pStyle w:val="Heading1"/>
        <w:spacing w:after="150" w:before="300"/>
      </w:pPr>
      <w:r>
        <w:t xml:space="preserve">Exceptions and Edge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436"/>
        <w:gridCol w:w="6364"/>
      </w:tblGrid>
      <w:tr>
        <w:trPr>
          <w:tblHeader/>
        </w:trPr>
        <w:tc>
          <w:tcPr>
            <w:tcW w:type="dxa" w:w="4436"/>
            <w:shd w:fill="2D005D" w:color="auto" w:val="clear"/>
            <w:vAlign w:val="center"/>
          </w:tcPr>
          <w:p>
            <w:r>
              <w:rPr>
                <w:rFonts w:ascii="Inter" w:cs="Inter" w:eastAsia="Inter" w:hAnsi="Inter"/>
                <w:b/>
                <w:bCs/>
                <w:color w:val="FFFFFF"/>
                <w:sz w:val="21"/>
                <w:szCs w:val="21"/>
              </w:rPr>
              <w:t xml:space="preserve">Scenario</w:t>
            </w:r>
          </w:p>
        </w:tc>
        <w:tc>
          <w:tcPr>
            <w:tcW w:type="dxa" w:w="6364"/>
            <w:shd w:fill="2D005D" w:color="auto" w:val="clear"/>
            <w:vAlign w:val="center"/>
          </w:tcPr>
          <w:p>
            <w:r>
              <w:rPr>
                <w:rFonts w:ascii="Inter" w:cs="Inter" w:eastAsia="Inter" w:hAnsi="Inter"/>
                <w:b/>
                <w:bCs/>
                <w:color w:val="FFFFFF"/>
                <w:sz w:val="21"/>
                <w:szCs w:val="21"/>
              </w:rPr>
              <w:t xml:space="preserve">What to Do</w:t>
            </w:r>
          </w:p>
        </w:tc>
      </w:tr>
      <w:tr>
        <w:tc>
          <w:tcPr>
            <w:tcW w:type="dxa" w:w="4436"/>
            <w:vAlign w:val="center"/>
          </w:tcPr>
          <w:p>
            <w:r>
              <w:rPr>
                <w:rFonts w:ascii="Inter" w:cs="Inter" w:eastAsia="Inter" w:hAnsi="Inter"/>
                <w:b w:val="false"/>
                <w:bCs w:val="false"/>
                <w:color w:val="000000"/>
                <w:sz w:val="18"/>
                <w:szCs w:val="18"/>
              </w:rPr>
              <w:t xml:space="preserve">Involuntary termination</w:t>
            </w:r>
          </w:p>
        </w:tc>
        <w:tc>
          <w:tcPr>
            <w:tcW w:type="dxa" w:w="6364"/>
            <w:vAlign w:val="center"/>
          </w:tcPr>
          <w:p>
            <w:r>
              <w:rPr>
                <w:rFonts w:ascii="Inter" w:cs="Inter" w:eastAsia="Inter" w:hAnsi="Inter"/>
                <w:b w:val="false"/>
                <w:bCs w:val="false"/>
                <w:color w:val="000000"/>
                <w:sz w:val="18"/>
                <w:szCs w:val="18"/>
              </w:rPr>
              <w:t xml:space="preserve">Access revocation and equipment collection happen immediately (same day), rather than waiting out a notice period. Exit interview may be skipped or handled with discretion depending on circumstances.</w:t>
            </w:r>
          </w:p>
        </w:tc>
      </w:tr>
      <w:tr>
        <w:tc>
          <w:tcPr>
            <w:tcW w:type="dxa" w:w="4436"/>
            <w:vAlign w:val="center"/>
          </w:tcPr>
          <w:p>
            <w:r>
              <w:rPr>
                <w:rFonts w:ascii="Inter" w:cs="Inter" w:eastAsia="Inter" w:hAnsi="Inter"/>
                <w:b w:val="false"/>
                <w:bCs w:val="false"/>
                <w:color w:val="000000"/>
                <w:sz w:val="18"/>
                <w:szCs w:val="18"/>
              </w:rPr>
              <w:t xml:space="preserve">Voluntary resignation with less than 1 week's notice</w:t>
            </w:r>
          </w:p>
        </w:tc>
        <w:tc>
          <w:tcPr>
            <w:tcW w:type="dxa" w:w="6364"/>
            <w:vAlign w:val="center"/>
          </w:tcPr>
          <w:p>
            <w:r>
              <w:rPr>
                <w:rFonts w:ascii="Inter" w:cs="Inter" w:eastAsia="Inter" w:hAnsi="Inter"/>
                <w:b w:val="false"/>
                <w:bCs w:val="false"/>
                <w:color w:val="000000"/>
                <w:sz w:val="18"/>
                <w:szCs w:val="18"/>
              </w:rPr>
              <w:t xml:space="preserve">Bionka Randolph to assess on a case-by-case basis whether remaining time is workable or whether to transition immediately; access revocation timing adjusted accordingly.</w:t>
            </w:r>
          </w:p>
        </w:tc>
      </w:tr>
      <w:tr>
        <w:tc>
          <w:tcPr>
            <w:tcW w:type="dxa" w:w="4436"/>
            <w:vAlign w:val="center"/>
          </w:tcPr>
          <w:p>
            <w:r>
              <w:rPr>
                <w:rFonts w:ascii="Inter" w:cs="Inter" w:eastAsia="Inter" w:hAnsi="Inter"/>
                <w:b w:val="false"/>
                <w:bCs w:val="false"/>
                <w:color w:val="000000"/>
                <w:sz w:val="18"/>
                <w:szCs w:val="18"/>
              </w:rPr>
              <w:t xml:space="preserve">Departing employee is on the Engineering or Product team</w:t>
            </w:r>
          </w:p>
        </w:tc>
        <w:tc>
          <w:tcPr>
            <w:tcW w:type="dxa" w:w="6364"/>
            <w:vAlign w:val="center"/>
          </w:tcPr>
          <w:p>
            <w:r>
              <w:rPr>
                <w:rFonts w:ascii="Inter" w:cs="Inter" w:eastAsia="Inter" w:hAnsi="Inter"/>
                <w:b w:val="false"/>
                <w:bCs w:val="false"/>
                <w:color w:val="000000"/>
                <w:sz w:val="18"/>
                <w:szCs w:val="18"/>
              </w:rPr>
              <w:t xml:space="preserve">Bionka handles general access (Slack, email, company-wide tools); Jagun Rimes (Engineering) or Dixon Lin (Product) additionally revokes team-specific tool/system access relevant to their function.</w:t>
            </w:r>
          </w:p>
        </w:tc>
      </w:tr>
      <w:tr>
        <w:tc>
          <w:tcPr>
            <w:tcW w:type="dxa" w:w="4436"/>
            <w:vAlign w:val="center"/>
          </w:tcPr>
          <w:p>
            <w:r>
              <w:rPr>
                <w:rFonts w:ascii="Inter" w:cs="Inter" w:eastAsia="Inter" w:hAnsi="Inter"/>
                <w:b w:val="false"/>
                <w:bCs w:val="false"/>
                <w:color w:val="000000"/>
                <w:sz w:val="18"/>
                <w:szCs w:val="18"/>
              </w:rPr>
              <w:t xml:space="preserve">Departing employee holds vested equity</w:t>
            </w:r>
          </w:p>
        </w:tc>
        <w:tc>
          <w:tcPr>
            <w:tcW w:type="dxa" w:w="6364"/>
            <w:vAlign w:val="center"/>
          </w:tcPr>
          <w:p>
            <w:r>
              <w:rPr>
                <w:rFonts w:ascii="Inter" w:cs="Inter" w:eastAsia="Inter" w:hAnsi="Inter"/>
                <w:b w:val="false"/>
                <w:bCs w:val="false"/>
                <w:color w:val="000000"/>
                <w:sz w:val="18"/>
                <w:szCs w:val="18"/>
              </w:rPr>
              <w:t xml:space="preserve">Bionka Randolph documents the employee's vested equity position as of their last day for company records. No final paycheck is issued, as compensation is currently equity-only with no current payout.</w:t>
            </w:r>
          </w:p>
        </w:tc>
      </w:tr>
    </w:tbl>
    <w:p>
      <w:pPr>
        <w:pStyle w:val="Heading1"/>
        <w:spacing w:after="150" w:before="300"/>
      </w:pPr>
      <w:r>
        <w:t xml:space="preserve">Open Items to Finalize</w:t>
      </w:r>
    </w:p>
    <w:p>
      <w:pPr>
        <w:pStyle w:val="ListParagraph"/>
        <w:numPr>
          <w:ilvl w:val="0"/>
          <w:numId w:val="2"/>
        </w:numPr>
        <w:spacing w:after="60"/>
      </w:pPr>
      <w:r>
        <w:t xml:space="preserve">Define a standard exit interview question set/template once a few have been conducted</w:t>
      </w:r>
    </w:p>
    <w:p>
      <w:pPr>
        <w:pStyle w:val="ListParagraph"/>
        <w:numPr>
          <w:ilvl w:val="0"/>
          <w:numId w:val="2"/>
        </w:numPr>
        <w:spacing w:after="60"/>
      </w:pPr>
      <w:r>
        <w:t xml:space="preserve">Confirm whether a notice period requirement should be documented in the Employee Handbook to formalize the current “at least 1 week” expectation</w:t>
      </w:r>
    </w:p>
    <w:p>
      <w:pPr>
        <w:pStyle w:val="ListParagraph"/>
        <w:numPr>
          <w:ilvl w:val="0"/>
          <w:numId w:val="2"/>
        </w:numPr>
        <w:spacing w:after="60"/>
      </w:pPr>
      <w:r>
        <w:t xml:space="preserve">Confirm equity documentation process/format with whoever manages the cap table</w:t>
      </w:r>
    </w:p>
    <w:p>
      <w:pPr>
        <w:pStyle w:val="Heading1"/>
        <w:spacing w:after="150" w:before="300"/>
      </w:pPr>
      <w:r>
        <w:t xml:space="preserve">Related Documents</w:t>
      </w:r>
    </w:p>
    <w:p>
      <w:pPr>
        <w:pStyle w:val="ListParagraph"/>
        <w:numPr>
          <w:ilvl w:val="0"/>
          <w:numId w:val="2"/>
        </w:numPr>
        <w:spacing w:after="60"/>
      </w:pPr>
      <w:r>
        <w:t xml:space="preserve">Hiring &amp; Recruitment SOP</w:t>
      </w:r>
    </w:p>
    <w:p>
      <w:pPr>
        <w:pStyle w:val="ListParagraph"/>
        <w:numPr>
          <w:ilvl w:val="0"/>
          <w:numId w:val="2"/>
        </w:numPr>
        <w:spacing w:after="60"/>
      </w:pPr>
      <w:r>
        <w:t xml:space="preserve">New Hire Onboarding &amp; Equipment Setup SOP</w:t>
      </w:r>
    </w:p>
    <w:p>
      <w:pPr>
        <w:pStyle w:val="ListParagraph"/>
        <w:numPr>
          <w:ilvl w:val="0"/>
          <w:numId w:val="2"/>
        </w:numPr>
        <w:spacing w:after="60"/>
      </w:pPr>
      <w:r>
        <w:t xml:space="preserve">Employee Handbook (notice period policy, if formalized)</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Inter" w:cs="Inter" w:eastAsia="Inter" w:hAnsi="Inter"/>
      <w:b/>
      <w:bCs/>
      <w:color w:val="2D005D"/>
      <w:sz w:val="36"/>
      <w:szCs w:val="36"/>
    </w:rPr>
  </w:style>
  <w:style w:type="paragraph" w:styleId="Heading1">
    <w:name w:val="Heading 1"/>
    <w:basedOn w:val="Normal"/>
    <w:next w:val="Normal"/>
    <w:qFormat/>
    <w:rPr>
      <w:rFonts w:ascii="Inter" w:cs="Inter" w:eastAsia="Inter" w:hAnsi="Inter"/>
      <w:b/>
      <w:bCs/>
      <w:color w:val="2D005D"/>
      <w:sz w:val="28"/>
      <w:szCs w:val="28"/>
    </w:rPr>
  </w:style>
  <w:style w:type="paragraph" w:styleId="Heading2">
    <w:name w:val="Heading 2"/>
    <w:basedOn w:val="Normal"/>
    <w:next w:val="Normal"/>
    <w:qFormat/>
    <w:rPr>
      <w:rFonts w:ascii="Inter" w:cs="Inter" w:eastAsia="Inter" w:hAnsi="Inter"/>
      <w:b/>
      <w:bCs/>
      <w:color w:val="2D00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60b33f16aaf99bca7a703d5b3fb4cfe7f4f4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2026-07-22T03:31:48.235Z</dcterms:created>
  <dcterms:modified xsi:type="dcterms:W3CDTF">2026-07-22T03:31:48.246Z</dcterms:modified>
</cp:coreProperties>
</file>

<file path=docProps/custom.xml><?xml version="1.0" encoding="utf-8"?>
<Properties xmlns="http://schemas.openxmlformats.org/officeDocument/2006/custom-properties" xmlns:vt="http://schemas.openxmlformats.org/officeDocument/2006/docPropsVTypes"/>
</file>