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drawing>
          <wp:inline distT="0" distB="0" distL="0" distR="0">
            <wp:extent cx="666750" cy="666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Title"/>
        <w:spacing w:after="100"/>
      </w:pPr>
      <w:r>
        <w:t xml:space="preserve">Performance Review &amp; Feedback Cycle SOP</w:t>
      </w:r>
    </w:p>
    <w:p>
      <w:pPr>
        <w:spacing w:after="60"/>
      </w:pPr>
      <w:r>
        <w:rPr>
          <w:b/>
          <w:bCs/>
        </w:rPr>
        <w:t xml:space="preserve">Process Owner: </w:t>
      </w:r>
      <w:r>
        <w:t xml:space="preserve">Angela Tino, Executive Operations Lead</w:t>
      </w:r>
    </w:p>
    <w:p>
      <w:pPr>
        <w:spacing w:after="60"/>
      </w:pPr>
      <w:r>
        <w:rPr>
          <w:b/>
          <w:bCs/>
        </w:rPr>
        <w:t xml:space="preserve">Accountable Executive: </w:t>
      </w:r>
      <w:r>
        <w:t xml:space="preserve">Bionka Randolph, CEO/Founder</w:t>
      </w:r>
    </w:p>
    <w:p>
      <w:pPr>
        <w:spacing w:after="60"/>
      </w:pPr>
      <w:r>
        <w:rPr>
          <w:b/>
          <w:bCs/>
        </w:rPr>
        <w:t xml:space="preserve">Last Updated: </w:t>
      </w:r>
      <w:r>
        <w:t xml:space="preserve">July 22, 2026</w:t>
      </w:r>
    </w:p>
    <w:p>
      <w:pPr>
        <w:spacing w:after="60"/>
      </w:pPr>
      <w:r>
        <w:rPr>
          <w:b/>
          <w:bCs/>
        </w:rPr>
        <w:t xml:space="preserve">Review Cadence: </w:t>
      </w:r>
      <w:r>
        <w:t xml:space="preserve">Quarterly</w:t>
      </w:r>
    </w:p>
    <w:p>
      <w:pPr>
        <w:pBdr>
          <w:bottom w:val="single" w:color="CCCCCC" w:sz="6"/>
        </w:pBdr>
        <w:spacing w:after="200"/>
      </w:pPr>
    </w:p>
    <w:p>
      <w:pPr>
        <w:pStyle w:val="Heading1"/>
        <w:spacing w:after="150" w:before="300"/>
      </w:pPr>
      <w:r>
        <w:t xml:space="preserve">Purpose</w:t>
      </w:r>
    </w:p>
    <w:p>
      <w:pPr>
        <w:spacing w:after="120"/>
      </w:pPr>
      <w:r>
        <w:t xml:space="preserve">This SOP establishes Canopi's first formal performance review process: a quarterly, 360-style feedback cycle combining self-assessment, peer feedback, and manager review. This is a fresh process with no prior framework to build on — the goal for now is growth and feedback, not a formal rating or a tie to compensation or promotion decisions.</w:t>
      </w:r>
    </w:p>
    <w:p>
      <w:pPr>
        <w:pStyle w:val="Heading1"/>
        <w:spacing w:after="150" w:before="300"/>
      </w:pPr>
      <w:r>
        <w:t xml:space="preserve">Scope</w:t>
      </w:r>
    </w:p>
    <w:p>
      <w:pPr>
        <w:spacing w:after="120"/>
      </w:pPr>
      <w:r>
        <w:t xml:space="preserve">Covers the quarterly review cycle for all Canopi employees, from cycle kickoff through the delivered review conversation and documented summary. Does not currently determine promotion, compensation, or equity decisions — this is a feedback and growth process only, and can be revisited if the company wants to formally connect it to those decisions later.</w:t>
      </w:r>
    </w:p>
    <w:p>
      <w:pPr>
        <w:pStyle w:val="Heading1"/>
        <w:spacing w:after="150" w:before="300"/>
      </w:pPr>
      <w:r>
        <w:t xml:space="preserve">Team Reference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Executive Team: Bionka Randolph (CEO/Founder), Angela Tino (Executive Operations Lead)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Engineering Team: Jagun Rimes (Head of Engineering), Alvin Chana (Software Engineer), John Dorlus (Senior Engineer)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Product Team: Dixon Lin (Head of Product), Puja Khirodkar (Senior Product Manager), Sebastian Mesa (UI/UX Designer)</w:t>
      </w:r>
    </w:p>
    <w:p>
      <w:pPr>
        <w:pStyle w:val="Heading1"/>
        <w:spacing w:after="150" w:before="300"/>
      </w:pPr>
      <w:r>
        <w:t xml:space="preserve">Manager &amp; Peer Group Reference</w:t>
      </w:r>
    </w:p>
    <w:p>
      <w:pPr>
        <w:spacing w:after="120"/>
      </w:pPr>
      <w:r>
        <w:t xml:space="preserve">Who reviews whom, by default: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600"/>
        <w:gridCol w:w="3600"/>
      </w:tblGrid>
      <w:tr>
        <w:trPr>
          <w:tblHeader/>
        </w:trPr>
        <w:tc>
          <w:tcPr>
            <w:tcW w:type="dxa" w:w="3600"/>
            <w:shd w:fill="2D005D" w:color="auto" w:val="clear"/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Employee</w:t>
            </w:r>
          </w:p>
        </w:tc>
        <w:tc>
          <w:tcPr>
            <w:tcW w:type="dxa" w:w="3600"/>
            <w:shd w:fill="2D005D" w:color="auto" w:val="clear"/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Manager</w:t>
            </w:r>
          </w:p>
        </w:tc>
        <w:tc>
          <w:tcPr>
            <w:tcW w:type="dxa" w:w="3600"/>
            <w:shd w:fill="2D005D" w:color="auto" w:val="clear"/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Typical Peer Group</w:t>
            </w:r>
          </w:p>
        </w:tc>
      </w:tr>
      <w:tr>
        <w:tc>
          <w:tcPr>
            <w:tcW w:type="dxa" w:w="3600"/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18"/>
                <w:szCs w:val="18"/>
              </w:rPr>
              <w:t xml:space="preserve">Alvin Chana (Software Engineer)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18"/>
                <w:szCs w:val="18"/>
              </w:rPr>
              <w:t xml:space="preserve">Jagun Rimes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18"/>
                <w:szCs w:val="18"/>
              </w:rPr>
              <w:t xml:space="preserve">Engineering team</w:t>
            </w:r>
          </w:p>
        </w:tc>
      </w:tr>
      <w:tr>
        <w:tc>
          <w:tcPr>
            <w:tcW w:type="dxa" w:w="3600"/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18"/>
                <w:szCs w:val="18"/>
              </w:rPr>
              <w:t xml:space="preserve">John Dorlus (Senior Engineer)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18"/>
                <w:szCs w:val="18"/>
              </w:rPr>
              <w:t xml:space="preserve">Jagun Rimes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18"/>
                <w:szCs w:val="18"/>
              </w:rPr>
              <w:t xml:space="preserve">Engineering team</w:t>
            </w:r>
          </w:p>
        </w:tc>
      </w:tr>
      <w:tr>
        <w:tc>
          <w:tcPr>
            <w:tcW w:type="dxa" w:w="3600"/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18"/>
                <w:szCs w:val="18"/>
              </w:rPr>
              <w:t xml:space="preserve">Puja Khirodkar (Senior Product Manager)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18"/>
                <w:szCs w:val="18"/>
              </w:rPr>
              <w:t xml:space="preserve">Dixon Lin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18"/>
                <w:szCs w:val="18"/>
              </w:rPr>
              <w:t xml:space="preserve">Product team</w:t>
            </w:r>
          </w:p>
        </w:tc>
      </w:tr>
      <w:tr>
        <w:tc>
          <w:tcPr>
            <w:tcW w:type="dxa" w:w="3600"/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18"/>
                <w:szCs w:val="18"/>
              </w:rPr>
              <w:t xml:space="preserve">Sebastian Mesa (UI/UX Designer)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18"/>
                <w:szCs w:val="18"/>
              </w:rPr>
              <w:t xml:space="preserve">Dixon Lin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18"/>
                <w:szCs w:val="18"/>
              </w:rPr>
              <w:t xml:space="preserve">Product team</w:t>
            </w:r>
          </w:p>
        </w:tc>
      </w:tr>
      <w:tr>
        <w:tc>
          <w:tcPr>
            <w:tcW w:type="dxa" w:w="3600"/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18"/>
                <w:szCs w:val="18"/>
              </w:rPr>
              <w:t xml:space="preserve">Jagun Rimes (Head of Engineering)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18"/>
                <w:szCs w:val="18"/>
              </w:rPr>
              <w:t xml:space="preserve">Bionka Randolph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18"/>
                <w:szCs w:val="18"/>
              </w:rPr>
              <w:t xml:space="preserve">Dixon Lin, Angela Tino</w:t>
            </w:r>
          </w:p>
        </w:tc>
      </w:tr>
      <w:tr>
        <w:tc>
          <w:tcPr>
            <w:tcW w:type="dxa" w:w="3600"/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18"/>
                <w:szCs w:val="18"/>
              </w:rPr>
              <w:t xml:space="preserve">Dixon Lin (Head of Product)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18"/>
                <w:szCs w:val="18"/>
              </w:rPr>
              <w:t xml:space="preserve">Bionka Randolph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18"/>
                <w:szCs w:val="18"/>
              </w:rPr>
              <w:t xml:space="preserve">Jagun Rimes, Angela Tino</w:t>
            </w:r>
          </w:p>
        </w:tc>
      </w:tr>
      <w:tr>
        <w:tc>
          <w:tcPr>
            <w:tcW w:type="dxa" w:w="3600"/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18"/>
                <w:szCs w:val="18"/>
              </w:rPr>
              <w:t xml:space="preserve">Angela Tino (Executive Operations Lead)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18"/>
                <w:szCs w:val="18"/>
              </w:rPr>
              <w:t xml:space="preserve">Bionka Randolph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18"/>
                <w:szCs w:val="18"/>
              </w:rPr>
              <w:t xml:space="preserve">Jagun Rimes, Dixon Lin</w:t>
            </w:r>
          </w:p>
        </w:tc>
      </w:tr>
      <w:tr>
        <w:tc>
          <w:tcPr>
            <w:tcW w:type="dxa" w:w="3600"/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18"/>
                <w:szCs w:val="18"/>
              </w:rPr>
              <w:t xml:space="preserve">Bionka Randolph (CEO/Founder)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18"/>
                <w:szCs w:val="18"/>
              </w:rPr>
              <w:t xml:space="preserve">— (see Exceptions)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18"/>
                <w:szCs w:val="18"/>
              </w:rPr>
              <w:t xml:space="preserve">Jagun Rimes, Dixon Lin, Angela Tino</w:t>
            </w:r>
          </w:p>
        </w:tc>
      </w:tr>
    </w:tbl>
    <w:p>
      <w:pPr>
        <w:pStyle w:val="Heading1"/>
        <w:spacing w:after="150" w:before="300"/>
      </w:pPr>
      <w:r>
        <w:t xml:space="preserve">RACI Matrix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600"/>
        <w:gridCol w:w="2600"/>
        <w:gridCol w:w="2200"/>
      </w:tblGrid>
      <w:tr>
        <w:trPr>
          <w:tblHeader/>
        </w:trPr>
        <w:tc>
          <w:tcPr>
            <w:tcW w:type="dxa" w:w="3400"/>
            <w:shd w:fill="2D005D" w:color="auto" w:val="clear"/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600"/>
            <w:shd w:fill="2D005D" w:color="auto" w:val="clear"/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Responsible</w:t>
            </w:r>
          </w:p>
        </w:tc>
        <w:tc>
          <w:tcPr>
            <w:tcW w:type="dxa" w:w="2600"/>
            <w:shd w:fill="2D005D" w:color="auto" w:val="clear"/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Accountable</w:t>
            </w:r>
          </w:p>
        </w:tc>
        <w:tc>
          <w:tcPr>
            <w:tcW w:type="dxa" w:w="2200"/>
            <w:shd w:fill="2D005D" w:color="auto" w:val="clear"/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Informed</w:t>
            </w:r>
          </w:p>
        </w:tc>
      </w:tr>
      <w:tr>
        <w:tc>
          <w:tcPr>
            <w:tcW w:type="dxa" w:w="3400"/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18"/>
                <w:szCs w:val="18"/>
              </w:rPr>
              <w:t xml:space="preserve">Kick off quarterly cycle</w:t>
            </w:r>
          </w:p>
        </w:tc>
        <w:tc>
          <w:tcPr>
            <w:tcW w:type="dxa" w:w="2600"/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18"/>
                <w:szCs w:val="18"/>
              </w:rPr>
              <w:t xml:space="preserve">Angela Tino</w:t>
            </w:r>
          </w:p>
        </w:tc>
        <w:tc>
          <w:tcPr>
            <w:tcW w:type="dxa" w:w="2600"/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18"/>
                <w:szCs w:val="18"/>
              </w:rPr>
              <w:t xml:space="preserve">Angela Tino</w:t>
            </w:r>
          </w:p>
        </w:tc>
        <w:tc>
          <w:tcPr>
            <w:tcW w:type="dxa" w:w="2200"/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18"/>
                <w:szCs w:val="18"/>
              </w:rPr>
              <w:t xml:space="preserve">All Employees</w:t>
            </w:r>
          </w:p>
        </w:tc>
      </w:tr>
      <w:tr>
        <w:tc>
          <w:tcPr>
            <w:tcW w:type="dxa" w:w="3400"/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18"/>
                <w:szCs w:val="18"/>
              </w:rPr>
              <w:t xml:space="preserve">Complete self-assessment</w:t>
            </w:r>
          </w:p>
        </w:tc>
        <w:tc>
          <w:tcPr>
            <w:tcW w:type="dxa" w:w="2600"/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18"/>
                <w:szCs w:val="18"/>
              </w:rPr>
              <w:t xml:space="preserve">Employee</w:t>
            </w:r>
          </w:p>
        </w:tc>
        <w:tc>
          <w:tcPr>
            <w:tcW w:type="dxa" w:w="2600"/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18"/>
                <w:szCs w:val="18"/>
              </w:rPr>
              <w:t xml:space="preserve">Employee</w:t>
            </w:r>
          </w:p>
        </w:tc>
        <w:tc>
          <w:tcPr>
            <w:tcW w:type="dxa" w:w="2200"/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18"/>
                <w:szCs w:val="18"/>
              </w:rPr>
              <w:t xml:space="preserve">Manager</w:t>
            </w:r>
          </w:p>
        </w:tc>
      </w:tr>
      <w:tr>
        <w:tc>
          <w:tcPr>
            <w:tcW w:type="dxa" w:w="3400"/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18"/>
                <w:szCs w:val="18"/>
              </w:rPr>
              <w:t xml:space="preserve">Submit peer feedback</w:t>
            </w:r>
          </w:p>
        </w:tc>
        <w:tc>
          <w:tcPr>
            <w:tcW w:type="dxa" w:w="2600"/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18"/>
                <w:szCs w:val="18"/>
              </w:rPr>
              <w:t xml:space="preserve">Peers (teammates)</w:t>
            </w:r>
          </w:p>
        </w:tc>
        <w:tc>
          <w:tcPr>
            <w:tcW w:type="dxa" w:w="2600"/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18"/>
                <w:szCs w:val="18"/>
              </w:rPr>
              <w:t xml:space="preserve">Peers (teammates)</w:t>
            </w:r>
          </w:p>
        </w:tc>
        <w:tc>
          <w:tcPr>
            <w:tcW w:type="dxa" w:w="2200"/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400"/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18"/>
                <w:szCs w:val="18"/>
              </w:rPr>
              <w:t xml:space="preserve">Compile review (self + peer + own observations)</w:t>
            </w:r>
          </w:p>
        </w:tc>
        <w:tc>
          <w:tcPr>
            <w:tcW w:type="dxa" w:w="2600"/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18"/>
                <w:szCs w:val="18"/>
              </w:rPr>
              <w:t xml:space="preserve">Manager</w:t>
            </w:r>
          </w:p>
        </w:tc>
        <w:tc>
          <w:tcPr>
            <w:tcW w:type="dxa" w:w="2600"/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18"/>
                <w:szCs w:val="18"/>
              </w:rPr>
              <w:t xml:space="preserve">Manager</w:t>
            </w:r>
          </w:p>
        </w:tc>
        <w:tc>
          <w:tcPr>
            <w:tcW w:type="dxa" w:w="2200"/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400"/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18"/>
                <w:szCs w:val="18"/>
              </w:rPr>
              <w:t xml:space="preserve">Deliver review (1:1 conversation)</w:t>
            </w:r>
          </w:p>
        </w:tc>
        <w:tc>
          <w:tcPr>
            <w:tcW w:type="dxa" w:w="2600"/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18"/>
                <w:szCs w:val="18"/>
              </w:rPr>
              <w:t xml:space="preserve">Manager</w:t>
            </w:r>
          </w:p>
        </w:tc>
        <w:tc>
          <w:tcPr>
            <w:tcW w:type="dxa" w:w="2600"/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18"/>
                <w:szCs w:val="18"/>
              </w:rPr>
              <w:t xml:space="preserve">Manager</w:t>
            </w:r>
          </w:p>
        </w:tc>
        <w:tc>
          <w:tcPr>
            <w:tcW w:type="dxa" w:w="2200"/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18"/>
                <w:szCs w:val="18"/>
              </w:rPr>
              <w:t xml:space="preserve">Employee</w:t>
            </w:r>
          </w:p>
        </w:tc>
      </w:tr>
      <w:tr>
        <w:tc>
          <w:tcPr>
            <w:tcW w:type="dxa" w:w="3400"/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18"/>
                <w:szCs w:val="18"/>
              </w:rPr>
              <w:t xml:space="preserve">Document summary notes</w:t>
            </w:r>
          </w:p>
        </w:tc>
        <w:tc>
          <w:tcPr>
            <w:tcW w:type="dxa" w:w="2600"/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18"/>
                <w:szCs w:val="18"/>
              </w:rPr>
              <w:t xml:space="preserve">Manager / Angela Tino</w:t>
            </w:r>
          </w:p>
        </w:tc>
        <w:tc>
          <w:tcPr>
            <w:tcW w:type="dxa" w:w="2600"/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18"/>
                <w:szCs w:val="18"/>
              </w:rPr>
              <w:t xml:space="preserve">Angela Tino</w:t>
            </w:r>
          </w:p>
        </w:tc>
        <w:tc>
          <w:tcPr>
            <w:tcW w:type="dxa" w:w="2200"/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1"/>
        <w:spacing w:after="150" w:before="300"/>
      </w:pPr>
      <w:r>
        <w:t xml:space="preserve">Process Flow (Summary)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1. Angela Tino kicks off the quarterly cycle and notifies all employees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2. Each employee completes a self-assessment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3. Peers (typically same-team members) submit feedback on each other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4. The employee's manager compiles the self-assessment, peer feedback, and their own observations into a review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5. Manager delivers the review in a 1:1 conversation with the employee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6. Manager or Angela Tino documents summary notes for the record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7. Cycle closes; next quarter's cycle begins on schedule</w:t>
      </w:r>
    </w:p>
    <w:p>
      <w:pPr>
        <w:pStyle w:val="Heading1"/>
        <w:spacing w:after="150" w:before="300"/>
      </w:pPr>
      <w:r>
        <w:t xml:space="preserve">Detailed Steps</w:t>
      </w:r>
    </w:p>
    <w:p>
      <w:pPr>
        <w:pStyle w:val="Heading2"/>
        <w:spacing w:after="120" w:before="250"/>
      </w:pPr>
      <w:r>
        <w:t xml:space="preserve">Step 1: Kick Off Cycle</w:t>
      </w:r>
    </w:p>
    <w:p>
      <w:pPr>
        <w:spacing w:after="120"/>
      </w:pPr>
      <w:r>
        <w:rPr>
          <w:b w:val="false"/>
          <w:bCs w:val="false"/>
        </w:rPr>
        <w:t xml:space="preserve">Who: Angela Tino</w:t>
      </w:r>
    </w:p>
    <w:p>
      <w:pPr>
        <w:spacing w:after="120"/>
      </w:pPr>
      <w:r>
        <w:rPr>
          <w:b w:val="false"/>
          <w:bCs w:val="false"/>
        </w:rPr>
        <w:t xml:space="preserve">How: At the start of each quarter, Angela notifies all employees that the review cycle is open and shares timelines/deadlines for self-assessments and peer feedback.</w:t>
      </w:r>
    </w:p>
    <w:p>
      <w:pPr>
        <w:spacing w:after="120"/>
      </w:pPr>
      <w:r>
        <w:rPr>
          <w:b w:val="false"/>
          <w:bCs w:val="false"/>
        </w:rPr>
        <w:t xml:space="preserve">Output: Cycle officially open.</w:t>
      </w:r>
    </w:p>
    <w:p>
      <w:pPr>
        <w:pStyle w:val="Heading2"/>
        <w:spacing w:after="120" w:before="250"/>
      </w:pPr>
      <w:r>
        <w:t xml:space="preserve">Step 2: Self-Assessment</w:t>
      </w:r>
    </w:p>
    <w:p>
      <w:pPr>
        <w:spacing w:after="120"/>
      </w:pPr>
      <w:r>
        <w:rPr>
          <w:b w:val="false"/>
          <w:bCs w:val="false"/>
        </w:rPr>
        <w:t xml:space="preserve">Who: Employee</w:t>
      </w:r>
    </w:p>
    <w:p>
      <w:pPr>
        <w:spacing w:after="120"/>
      </w:pPr>
      <w:r>
        <w:rPr>
          <w:b w:val="false"/>
          <w:bCs w:val="false"/>
        </w:rPr>
        <w:t xml:space="preserve">How: Each employee reflects on their own performance, wins, and growth areas over the past quarter and documents this in a self-assessment.</w:t>
      </w:r>
    </w:p>
    <w:p>
      <w:pPr>
        <w:spacing w:after="120"/>
      </w:pPr>
      <w:r>
        <w:rPr>
          <w:b w:val="false"/>
          <w:bCs w:val="false"/>
        </w:rPr>
        <w:t xml:space="preserve">Output: Completed self-assessment.</w:t>
      </w:r>
    </w:p>
    <w:p>
      <w:pPr>
        <w:pStyle w:val="Heading2"/>
        <w:spacing w:after="120" w:before="250"/>
      </w:pPr>
      <w:r>
        <w:t xml:space="preserve">Step 3: Peer Feedback</w:t>
      </w:r>
    </w:p>
    <w:p>
      <w:pPr>
        <w:spacing w:after="120"/>
      </w:pPr>
      <w:r>
        <w:rPr>
          <w:b w:val="false"/>
          <w:bCs w:val="false"/>
        </w:rPr>
        <w:t xml:space="preserve">Who: Peers (typically same-team members, see Manager &amp; Peer Group Reference)</w:t>
      </w:r>
    </w:p>
    <w:p>
      <w:pPr>
        <w:spacing w:after="120"/>
      </w:pPr>
      <w:r>
        <w:rPr>
          <w:b w:val="false"/>
          <w:bCs w:val="false"/>
        </w:rPr>
        <w:t xml:space="preserve">How: Teammates submit feedback on the employee's collaboration, strengths, and areas to grow, based on the past quarter's working relationship.</w:t>
      </w:r>
    </w:p>
    <w:p>
      <w:pPr>
        <w:spacing w:after="120"/>
      </w:pPr>
      <w:r>
        <w:rPr>
          <w:b w:val="false"/>
          <w:bCs w:val="false"/>
        </w:rPr>
        <w:t xml:space="preserve">Output: Peer feedback submitted.</w:t>
      </w:r>
    </w:p>
    <w:p>
      <w:pPr>
        <w:pStyle w:val="Heading2"/>
        <w:spacing w:after="120" w:before="250"/>
      </w:pPr>
      <w:r>
        <w:t xml:space="preserve">Step 4: Compile Review</w:t>
      </w:r>
    </w:p>
    <w:p>
      <w:pPr>
        <w:spacing w:after="120"/>
      </w:pPr>
      <w:r>
        <w:rPr>
          <w:b w:val="false"/>
          <w:bCs w:val="false"/>
        </w:rPr>
        <w:t xml:space="preserve">Who: Manager (see Manager &amp; Peer Group Reference for who manages whom)</w:t>
      </w:r>
    </w:p>
    <w:p>
      <w:pPr>
        <w:spacing w:after="120"/>
      </w:pPr>
      <w:r>
        <w:rPr>
          <w:b w:val="false"/>
          <w:bCs w:val="false"/>
        </w:rPr>
        <w:t xml:space="preserve">How: The manager reviews the self-assessment and peer feedback alongside their own observations, and compiles this into a single review.</w:t>
      </w:r>
    </w:p>
    <w:p>
      <w:pPr>
        <w:spacing w:after="120"/>
      </w:pPr>
      <w:r>
        <w:rPr>
          <w:b w:val="false"/>
          <w:bCs w:val="false"/>
        </w:rPr>
        <w:t xml:space="preserve">Output: Compiled review ready to deliver.</w:t>
      </w:r>
    </w:p>
    <w:p>
      <w:pPr>
        <w:pStyle w:val="Heading2"/>
        <w:spacing w:after="120" w:before="250"/>
      </w:pPr>
      <w:r>
        <w:t xml:space="preserve">Step 5: Deliver Review</w:t>
      </w:r>
    </w:p>
    <w:p>
      <w:pPr>
        <w:spacing w:after="120"/>
      </w:pPr>
      <w:r>
        <w:rPr>
          <w:b w:val="false"/>
          <w:bCs w:val="false"/>
        </w:rPr>
        <w:t xml:space="preserve">Who: Manager → Employee</w:t>
      </w:r>
    </w:p>
    <w:p>
      <w:pPr>
        <w:spacing w:after="120"/>
      </w:pPr>
      <w:r>
        <w:rPr>
          <w:b w:val="false"/>
          <w:bCs w:val="false"/>
        </w:rPr>
        <w:t xml:space="preserve">How: Manager delivers the review as a conversation (not just a written document), ideally as part of or alongside a regular 1:1.</w:t>
      </w:r>
    </w:p>
    <w:p>
      <w:pPr>
        <w:spacing w:after="120"/>
      </w:pPr>
      <w:r>
        <w:rPr>
          <w:b w:val="false"/>
          <w:bCs w:val="false"/>
        </w:rPr>
        <w:t xml:space="preserve">Output: Employee has clear, direct feedback and space to respond.</w:t>
      </w:r>
    </w:p>
    <w:p>
      <w:pPr>
        <w:pStyle w:val="Heading2"/>
        <w:spacing w:after="120" w:before="250"/>
      </w:pPr>
      <w:r>
        <w:t xml:space="preserve">Step 6: Document Summary</w:t>
      </w:r>
    </w:p>
    <w:p>
      <w:pPr>
        <w:spacing w:after="120"/>
      </w:pPr>
      <w:r>
        <w:rPr>
          <w:b w:val="false"/>
          <w:bCs w:val="false"/>
        </w:rPr>
        <w:t xml:space="preserve">Who: Manager or Angela Tino</w:t>
      </w:r>
    </w:p>
    <w:p>
      <w:pPr>
        <w:spacing w:after="120"/>
      </w:pPr>
      <w:r>
        <w:rPr>
          <w:b w:val="false"/>
          <w:bCs w:val="false"/>
        </w:rPr>
        <w:t xml:space="preserve">How: Key takeaways and any follow-up items from the review conversation are documented for the record (a natural fit for Meetings &gt; One-on-One Agendas in the repository).</w:t>
      </w:r>
    </w:p>
    <w:p>
      <w:pPr>
        <w:spacing w:after="120"/>
      </w:pPr>
      <w:r>
        <w:rPr>
          <w:b w:val="false"/>
          <w:bCs w:val="false"/>
        </w:rPr>
        <w:t xml:space="preserve">Output: Review cycle closed out and on file.</w:t>
      </w:r>
    </w:p>
    <w:p>
      <w:pPr>
        <w:pStyle w:val="Heading1"/>
        <w:spacing w:after="150" w:before="300"/>
      </w:pPr>
      <w:r>
        <w:t xml:space="preserve">Exceptions and Edge Cases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36"/>
        <w:gridCol w:w="6364"/>
      </w:tblGrid>
      <w:tr>
        <w:trPr>
          <w:tblHeader/>
        </w:trPr>
        <w:tc>
          <w:tcPr>
            <w:tcW w:type="dxa" w:w="4436"/>
            <w:shd w:fill="2D005D" w:color="auto" w:val="clear"/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1"/>
                <w:szCs w:val="21"/>
              </w:rPr>
              <w:t xml:space="preserve">Scenario</w:t>
            </w:r>
          </w:p>
        </w:tc>
        <w:tc>
          <w:tcPr>
            <w:tcW w:type="dxa" w:w="6364"/>
            <w:shd w:fill="2D005D" w:color="auto" w:val="clear"/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1"/>
                <w:szCs w:val="21"/>
              </w:rPr>
              <w:t xml:space="preserve">What to Do</w:t>
            </w:r>
          </w:p>
        </w:tc>
      </w:tr>
      <w:tr>
        <w:tc>
          <w:tcPr>
            <w:tcW w:type="dxa" w:w="4436"/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18"/>
                <w:szCs w:val="18"/>
              </w:rPr>
              <w:t xml:space="preserve">Employee has been in their role less than 6 weeks at cycle start</w:t>
            </w:r>
          </w:p>
        </w:tc>
        <w:tc>
          <w:tcPr>
            <w:tcW w:type="dxa" w:w="6364"/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18"/>
                <w:szCs w:val="18"/>
              </w:rPr>
              <w:t xml:space="preserve">Skip the formal review for that quarter; do a lightweight check-in instead. They join the full cycle the following quarter.</w:t>
            </w:r>
          </w:p>
        </w:tc>
      </w:tr>
      <w:tr>
        <w:tc>
          <w:tcPr>
            <w:tcW w:type="dxa" w:w="4436"/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18"/>
                <w:szCs w:val="18"/>
              </w:rPr>
              <w:t xml:space="preserve">Reviewing a Team Head (Jagun Rimes or Dixon Lin)</w:t>
            </w:r>
          </w:p>
        </w:tc>
        <w:tc>
          <w:tcPr>
            <w:tcW w:type="dxa" w:w="6364"/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18"/>
                <w:szCs w:val="18"/>
              </w:rPr>
              <w:t xml:space="preserve">Bionka Randolph acts as manager and compiles/delivers the review. Peer feedback comes from the other Team Head and Angela Tino.</w:t>
            </w:r>
          </w:p>
        </w:tc>
      </w:tr>
      <w:tr>
        <w:tc>
          <w:tcPr>
            <w:tcW w:type="dxa" w:w="4436"/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18"/>
                <w:szCs w:val="18"/>
              </w:rPr>
              <w:t xml:space="preserve">Reviewing Bionka Randolph (CEO/Founder)</w:t>
            </w:r>
          </w:p>
        </w:tc>
        <w:tc>
          <w:tcPr>
            <w:tcW w:type="dxa" w:w="6364"/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18"/>
                <w:szCs w:val="18"/>
              </w:rPr>
              <w:t xml:space="preserve">No formal manager exists above Bionka. For now, this is self-reflection plus informal peer input from Jagun, Dixon, and Angela — not a formal manager-led review. Revisit if a board or advisor is established.</w:t>
            </w:r>
          </w:p>
        </w:tc>
      </w:tr>
      <w:tr>
        <w:tc>
          <w:tcPr>
            <w:tcW w:type="dxa" w:w="4436"/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18"/>
                <w:szCs w:val="18"/>
              </w:rPr>
              <w:t xml:space="preserve">Peer feedback across teams</w:t>
            </w:r>
          </w:p>
        </w:tc>
        <w:tc>
          <w:tcPr>
            <w:tcW w:type="dxa" w:w="6364"/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18"/>
                <w:szCs w:val="18"/>
              </w:rPr>
              <w:t xml:space="preserve">Default peer group is the employee's own team. Cross-team peer input is welcome but not required — confirm if you'd like this made mandatory as the team grows.</w:t>
            </w:r>
          </w:p>
        </w:tc>
      </w:tr>
    </w:tbl>
    <w:p>
      <w:pPr>
        <w:pStyle w:val="Heading1"/>
        <w:spacing w:after="150" w:before="300"/>
      </w:pPr>
      <w:r>
        <w:t xml:space="preserve">Open Items to Finalize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Build a self-assessment and peer feedback template/form (a fit for Resources &gt; Templates)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Decide whether cross-team peer feedback should be mandatory as the team grows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Revisit how Bionka's own review/reflection is handled once a board or advisors are in place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Decide, in a future cycle, whether review outcomes should start informing promotion, role, or equity conversations — out of scope for now per current direction</w:t>
      </w:r>
    </w:p>
    <w:p>
      <w:pPr>
        <w:pStyle w:val="Heading1"/>
        <w:spacing w:after="150" w:before="300"/>
      </w:pPr>
      <w:r>
        <w:t xml:space="preserve">Related Documents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Promotion &amp; Compensation Review SOP (if/when formalized)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Meetings &gt; One-on-One Agendas</w:t>
      </w:r>
    </w:p>
    <w:sectPr>
      <w:pgSz w:w="12240" w:h="15840" w:orient="portrait"/>
      <w:pgMar w:top="900" w:right="720" w:bottom="90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  <w:lvl w:ilvl="1" w15:tentative="1">
      <w:start w:val="1"/>
      <w:numFmt w:val="bullet"/>
      <w:lvlText w:val="◦"/>
      <w:lvlJc w:val="left"/>
      <w:pPr>
        <w:ind w:left="9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rPr>
      <w:rFonts w:ascii="Inter" w:cs="Inter" w:eastAsia="Inter" w:hAnsi="Inter"/>
      <w:b/>
      <w:bCs/>
      <w:color w:val="2D005D"/>
      <w:sz w:val="36"/>
      <w:szCs w:val="36"/>
    </w:rPr>
  </w:style>
  <w:style w:type="paragraph" w:styleId="Heading1">
    <w:name w:val="Heading 1"/>
    <w:basedOn w:val="Normal"/>
    <w:next w:val="Normal"/>
    <w:qFormat/>
    <w:rPr>
      <w:rFonts w:ascii="Inter" w:cs="Inter" w:eastAsia="Inter" w:hAnsi="Inter"/>
      <w:b/>
      <w:bCs/>
      <w:color w:val="2D005D"/>
      <w:sz w:val="28"/>
      <w:szCs w:val="28"/>
    </w:rPr>
  </w:style>
  <w:style w:type="paragraph" w:styleId="Heading2">
    <w:name w:val="Heading 2"/>
    <w:basedOn w:val="Normal"/>
    <w:next w:val="Normal"/>
    <w:qFormat/>
    <w:rPr>
      <w:rFonts w:ascii="Inter" w:cs="Inter" w:eastAsia="Inter" w:hAnsi="Inter"/>
      <w:b/>
      <w:bCs/>
      <w:color w:val="2D005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960b33f16aaf99bca7a703d5b3fb4cfe7f4f479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2026-07-22T03:51:23.821Z</dcterms:created>
  <dcterms:modified xsi:type="dcterms:W3CDTF">2026-07-22T03:51:23.836Z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