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Employee Handbook</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Status: </w:t>
      </w:r>
      <w:r>
        <w:t xml:space="preserve">Starter Draft — Not Yet in Effect</w:t>
      </w:r>
    </w:p>
    <w:p>
      <w:pPr>
        <w:pBdr>
          <w:bottom w:val="single" w:color="CCCCCC" w:sz="6"/>
        </w:pBdr>
        <w:spacing w:after="200"/>
      </w:pPr>
    </w:p>
    <w:p>
      <w:pPr>
        <w:pBdr>
          <w:top w:val="single" w:color="C0392B" w:sz="4"/>
          <w:bottom w:val="single" w:color="C0392B" w:sz="4"/>
          <w:left w:val="single" w:color="C0392B" w:sz="4"/>
          <w:right w:val="single" w:color="C0392B" w:sz="4"/>
        </w:pBdr>
        <w:shd w:fill="FBEAEA" w:color="auto" w:val="clear"/>
        <w:spacing w:after="200" w:before="150"/>
      </w:pPr>
      <w:r>
        <w:rPr>
          <w:b/>
          <w:bCs/>
          <w:color w:val="8A1F1F"/>
          <w:sz w:val="22"/>
          <w:szCs w:val="22"/>
        </w:rPr>
        <w:t xml:space="preserve">⚠ WORKING DRAFT — NOT YET REVIEWED BY AN ATTORNEY</w:t>
      </w:r>
      <w:r>
        <w:br/>
      </w:r>
      <w:r>
        <w:rPr>
          <w:b w:val="false"/>
          <w:bCs w:val="false"/>
          <w:color w:val="8A1F1F"/>
          <w:sz w:val="20"/>
          <w:szCs w:val="20"/>
        </w:rPr>
        <w:t xml:space="preserve">This handbook reflects a complete first draft of Canopi's policies, written to be genuinely usable as a starting point — not a placeholder skeleton. That said, it has not been reviewed by an employment attorney, and one section in particular (Employment Classification, below) reflects a real open question at Canopi rather than a decision already made. Have this reviewed by an employment attorney licensed in the state(s) where Canopi has team members before treating it as official policy. See “Note on Legal Review” at the end for specifics.</w:t>
      </w:r>
    </w:p>
    <w:p>
      <w:pPr>
        <w:pStyle w:val="Heading1"/>
        <w:spacing w:after="150" w:before="300"/>
      </w:pPr>
      <w:r>
        <w:t xml:space="preserve">1. Welcome to Canopi</w:t>
      </w:r>
    </w:p>
    <w:p>
      <w:pPr>
        <w:spacing w:after="120"/>
      </w:pPr>
      <w:r>
        <w:t xml:space="preserve">Canopi is a small, fast-moving SaaS company, and how we work together matters as much as what we build. This handbook exists to give everyone a shared understanding of our expectations, our policies, and the resources available to you — so nothing important depends on tribal knowledge or on asking around. It's a living document: as Canopi grows, this handbook will grow with it.</w:t>
      </w:r>
    </w:p>
    <w:p>
      <w:pPr>
        <w:pStyle w:val="Heading1"/>
        <w:spacing w:after="150" w:before="300"/>
      </w:pPr>
      <w:r>
        <w:t xml:space="preserve">2. About This Handbook</w:t>
      </w:r>
    </w:p>
    <w:p>
      <w:pPr>
        <w:pStyle w:val="ListParagraph"/>
        <w:numPr>
          <w:ilvl w:val="0"/>
          <w:numId w:val="2"/>
        </w:numPr>
        <w:spacing w:after="60"/>
      </w:pPr>
      <w:r>
        <w:t xml:space="preserve">This handbook applies to all Canopi team members once adopted, regardless of role or team.</w:t>
      </w:r>
    </w:p>
    <w:p>
      <w:pPr>
        <w:pStyle w:val="ListParagraph"/>
        <w:numPr>
          <w:ilvl w:val="0"/>
          <w:numId w:val="2"/>
        </w:numPr>
        <w:spacing w:after="60"/>
      </w:pPr>
      <w:r>
        <w:t xml:space="preserve">It works alongside Canopi's other SOPs and policies (PTO / Leave, Performance Review, Offboarding, and others in Knowledge Base &gt; Policies) rather than replacing them. Where this handbook and a more detailed SOP overlap, the SOP governs day-to-day process, and this handbook provides the broader context.</w:t>
      </w:r>
    </w:p>
    <w:p>
      <w:pPr>
        <w:pStyle w:val="ListParagraph"/>
        <w:numPr>
          <w:ilvl w:val="0"/>
          <w:numId w:val="2"/>
        </w:numPr>
        <w:spacing w:after="60"/>
      </w:pPr>
      <w:r>
        <w:t xml:space="preserve">This handbook will be reviewed and updated periodically as Canopi grows; team members will be notified of material changes.</w:t>
      </w:r>
    </w:p>
    <w:p>
      <w:pPr>
        <w:pStyle w:val="ListParagraph"/>
        <w:numPr>
          <w:ilvl w:val="0"/>
          <w:numId w:val="2"/>
        </w:numPr>
        <w:spacing w:after="60"/>
      </w:pPr>
      <w:r>
        <w:t xml:space="preserve">Nothing in this handbook guarantees continued employment or engagement for any specific duration.</w:t>
      </w:r>
    </w:p>
    <w:p>
      <w:pPr>
        <w:pStyle w:val="Heading1"/>
        <w:spacing w:after="150" w:before="300"/>
      </w:pPr>
      <w:r>
        <w:t xml:space="preserve">3. Employment Classification — Open Item</w:t>
      </w:r>
    </w:p>
    <w:p>
      <w:pPr>
        <w:pBdr>
          <w:top w:val="single" w:color="C0392B" w:sz="4"/>
          <w:bottom w:val="single" w:color="C0392B" w:sz="4"/>
          <w:left w:val="single" w:color="C0392B" w:sz="4"/>
          <w:right w:val="single" w:color="C0392B" w:sz="4"/>
        </w:pBdr>
        <w:shd w:fill="FBEAEA" w:color="auto" w:val="clear"/>
        <w:spacing w:after="200" w:before="150"/>
      </w:pPr>
      <w:r>
        <w:rPr>
          <w:b/>
          <w:bCs/>
          <w:color w:val="8A1F1F"/>
          <w:sz w:val="22"/>
          <w:szCs w:val="22"/>
        </w:rPr>
        <w:t xml:space="preserve">This is a genuinely open question at Canopi, not a policy decision — flagging it here rather than guessing.</w:t>
      </w:r>
      <w:r>
        <w:br/>
      </w:r>
      <w:r>
        <w:rPr>
          <w:b w:val="false"/>
          <w:bCs w:val="false"/>
          <w:color w:val="8A1F1F"/>
          <w:sz w:val="20"/>
          <w:szCs w:val="20"/>
        </w:rPr>
        <w:t xml:space="preserve">Canopi's team members are not yet formally classified (e.g. as W-2 employees, 1099 contractors, or co-founders/advisors under equity agreements), and current compensation is equity-only with no cash wages. This affects several other sections of this handbook, including Compensation &amp; Equity and the at-will employment language in Section 14. Canopi should work with an employment attorney and a tax advisor to determine the right classification for each team member, then update this handbook to reflect that decision.</w:t>
      </w:r>
    </w:p>
    <w:p>
      <w:pPr>
        <w:pStyle w:val="Heading1"/>
        <w:spacing w:after="150" w:before="300"/>
      </w:pPr>
      <w:r>
        <w:t xml:space="preserve">4. Equal Opportunity</w:t>
      </w:r>
    </w:p>
    <w:p>
      <w:pPr>
        <w:spacing w:after="120"/>
      </w:pPr>
      <w:r>
        <w:t xml:space="preserve">Canopi is committed to providing a workplace free from discrimination and harassment. Canopi does not discriminate on the basis of race, color, religion, sex, sexual orientation, gender identity, national origin, age, disability, genetic information, veteran status, or any other status protected by applicable federal, state, or local law. This applies to hiring, promotion, compensation, and every other aspect of a person's time at Canopi.</w:t>
      </w:r>
    </w:p>
    <w:p>
      <w:pPr>
        <w:spacing w:after="120"/>
      </w:pPr>
      <w:r>
        <w:t xml:space="preserve">Anyone who believes they've experienced or witnessed discrimination or harassment is encouraged to report it to Bionka Randolph or Angela Tino. Reports will be taken seriously, handled with discretion, and will not result in retaliation against the person raising the concern.</w:t>
      </w:r>
    </w:p>
    <w:p>
      <w:pPr>
        <w:pStyle w:val="Heading1"/>
        <w:spacing w:after="150" w:before="300"/>
      </w:pPr>
      <w:r>
        <w:t xml:space="preserve">5. Workplace Conduct</w:t>
      </w:r>
    </w:p>
    <w:p>
      <w:pPr>
        <w:spacing w:after="120"/>
      </w:pPr>
      <w:r>
        <w:t xml:space="preserve">Canopi's full Code of Conduct (Knowledge Base &gt; Policies) governs in detail; the expectations below summarize the core of it.</w:t>
      </w:r>
    </w:p>
    <w:p>
      <w:pPr>
        <w:pStyle w:val="ListParagraph"/>
        <w:numPr>
          <w:ilvl w:val="0"/>
          <w:numId w:val="2"/>
        </w:numPr>
        <w:spacing w:after="60"/>
      </w:pPr>
      <w:r>
        <w:t xml:space="preserve">Treat colleagues, candidates, and anyone Canopi works with, with respect — disagreement is fine, disrespect isn't.</w:t>
      </w:r>
    </w:p>
    <w:p>
      <w:pPr>
        <w:pStyle w:val="ListParagraph"/>
        <w:numPr>
          <w:ilvl w:val="0"/>
          <w:numId w:val="2"/>
        </w:numPr>
        <w:spacing w:after="60"/>
      </w:pPr>
      <w:r>
        <w:t xml:space="preserve">Harassment, discrimination, and retaliation of any kind are not tolerated, whether directed at a teammate, a candidate, or anyone else connected to Canopi.</w:t>
      </w:r>
    </w:p>
    <w:p>
      <w:pPr>
        <w:pStyle w:val="ListParagraph"/>
        <w:numPr>
          <w:ilvl w:val="0"/>
          <w:numId w:val="2"/>
        </w:numPr>
        <w:spacing w:after="60"/>
      </w:pPr>
      <w:r>
        <w:t xml:space="preserve">Assume good intent, but address friction directly and early — small misunderstandings are easier to resolve than ones left to fester.</w:t>
      </w:r>
    </w:p>
    <w:p>
      <w:pPr>
        <w:pStyle w:val="ListParagraph"/>
        <w:numPr>
          <w:ilvl w:val="0"/>
          <w:numId w:val="2"/>
        </w:numPr>
        <w:spacing w:after="60"/>
      </w:pPr>
      <w:r>
        <w:t xml:space="preserve">Raise concerns directly with Bionka Randolph or Angela Tino; they'll be handled with discretion and taken seriously.</w:t>
      </w:r>
    </w:p>
    <w:p>
      <w:pPr>
        <w:pStyle w:val="Heading1"/>
        <w:spacing w:after="150" w:before="300"/>
      </w:pPr>
      <w:r>
        <w:t xml:space="preserve">6. Work Arrangements</w:t>
      </w:r>
    </w:p>
    <w:p>
      <w:pPr>
        <w:pStyle w:val="ListParagraph"/>
        <w:numPr>
          <w:ilvl w:val="0"/>
          <w:numId w:val="2"/>
        </w:numPr>
        <w:spacing w:after="60"/>
      </w:pPr>
      <w:r>
        <w:t xml:space="preserve">Canopi is a remote-first, distributed team.</w:t>
      </w:r>
    </w:p>
    <w:p>
      <w:pPr>
        <w:pStyle w:val="ListParagraph"/>
        <w:numPr>
          <w:ilvl w:val="0"/>
          <w:numId w:val="2"/>
        </w:numPr>
        <w:spacing w:after="60"/>
      </w:pPr>
      <w:r>
        <w:t xml:space="preserve">There's no company-wide fixed office-hours requirement. Instead, team members are expected to maintain reasonable working-hours overlap with their manager and team for meetings and collaboration, agreed directly with their Team Head.</w:t>
      </w:r>
    </w:p>
    <w:p>
      <w:pPr>
        <w:pStyle w:val="ListParagraph"/>
        <w:numPr>
          <w:ilvl w:val="0"/>
          <w:numId w:val="2"/>
        </w:numPr>
        <w:spacing w:after="60"/>
      </w:pPr>
      <w:r>
        <w:t xml:space="preserve">Team members are expected to be responsive during their own agreed working hours and to communicate proactively if they'll be unavailable during that window.</w:t>
      </w:r>
    </w:p>
    <w:p>
      <w:pPr>
        <w:pStyle w:val="ListParagraph"/>
        <w:numPr>
          <w:ilvl w:val="0"/>
          <w:numId w:val="2"/>
        </w:numPr>
        <w:spacing w:after="60"/>
      </w:pPr>
      <w:r>
        <w:t xml:space="preserve">See the Remote Work / Work-From-Home Policy (Knowledge Base &gt; Policies) for further detail once formalized.</w:t>
      </w:r>
    </w:p>
    <w:p>
      <w:pPr>
        <w:pStyle w:val="Heading1"/>
        <w:spacing w:after="150" w:before="300"/>
      </w:pPr>
      <w:r>
        <w:t xml:space="preserve">7. Compensation &amp; Equity</w:t>
      </w:r>
    </w:p>
    <w:p>
      <w:pPr>
        <w:spacing w:after="120"/>
      </w:pPr>
      <w:r>
        <w:t xml:space="preserve">Canopi's current compensation model is equity-only; no cash salary is paid at this stage. Equity terms (grant size, vesting schedule, and related details) are documented in each team member's individual agreement rather than in this handbook, since they're specific to each person and role.</w:t>
      </w:r>
    </w:p>
    <w:p>
      <w:pPr>
        <w:spacing w:after="120"/>
      </w:pPr>
      <w:r>
        <w:t xml:space="preserve">This model may change as Canopi's financial position matures. Any shift toward cash compensation would be communicated clearly and would likely require updates to this handbook and to individual agreements. As noted in Section 3, this section should be reviewed alongside the classification question, since how someone is classified affects what compensation structure is appropriate for them.</w:t>
      </w:r>
    </w:p>
    <w:p>
      <w:pPr>
        <w:pStyle w:val="Heading1"/>
        <w:spacing w:after="150" w:before="300"/>
      </w:pPr>
      <w:r>
        <w:t xml:space="preserve">8. Time Off &amp; Leave</w:t>
      </w:r>
    </w:p>
    <w:p>
      <w:pPr>
        <w:spacing w:after="120"/>
      </w:pPr>
      <w:r>
        <w:t xml:space="preserve">Canopi doesn't currently have a formal PTO balance or accrual system — this follows from the equity-only compensation structure, where time off isn't tied to paid leave. Team members are free to take time away as needed, and are simply expected to give Bionka Randolph advance notice so the team can plan around it. See the PTO / Leave Request SOP (Knowledge Base &gt; SOPs) for the full process.</w:t>
      </w:r>
    </w:p>
    <w:p>
      <w:pPr>
        <w:pStyle w:val="Heading1"/>
        <w:spacing w:after="150" w:before="300"/>
      </w:pPr>
      <w:r>
        <w:t xml:space="preserve">9. Performance &amp; Feedback</w:t>
      </w:r>
    </w:p>
    <w:p>
      <w:pPr>
        <w:spacing w:after="120"/>
      </w:pPr>
      <w:r>
        <w:t xml:space="preserve">Canopi runs a quarterly, 360-style performance review cycle combining self-assessment, peer feedback, and manager review. The goal is growth and feedback, not a formal rating or a tie to compensation or promotion decisions at this stage. See the Performance Review &amp; Feedback Cycle SOP (Knowledge Base &gt; SOPs) for the full process.</w:t>
      </w:r>
    </w:p>
    <w:p>
      <w:pPr>
        <w:pStyle w:val="Heading1"/>
        <w:spacing w:after="150" w:before="300"/>
      </w:pPr>
      <w:r>
        <w:t xml:space="preserve">10. Confidentiality &amp; Intellectual Property</w:t>
      </w:r>
    </w:p>
    <w:p>
      <w:pPr>
        <w:pStyle w:val="ListParagraph"/>
        <w:numPr>
          <w:ilvl w:val="0"/>
          <w:numId w:val="2"/>
        </w:numPr>
        <w:spacing w:after="60"/>
      </w:pPr>
      <w:r>
        <w:t xml:space="preserve">Team members will likely have access to confidential company, customer, or product information over the course of their work, and are expected to protect it — both during their time at Canopi and after they leave.</w:t>
      </w:r>
    </w:p>
    <w:p>
      <w:pPr>
        <w:pStyle w:val="ListParagraph"/>
        <w:numPr>
          <w:ilvl w:val="0"/>
          <w:numId w:val="2"/>
        </w:numPr>
        <w:spacing w:after="60"/>
      </w:pPr>
      <w:r>
        <w:t xml:space="preserve">Work product created for Canopi in the course of a team member's engagement belongs to Canopi, consistent with the terms of that person's individual agreement.</w:t>
      </w:r>
    </w:p>
    <w:p>
      <w:pPr>
        <w:pStyle w:val="ListParagraph"/>
        <w:numPr>
          <w:ilvl w:val="0"/>
          <w:numId w:val="2"/>
        </w:numPr>
        <w:spacing w:after="60"/>
      </w:pPr>
      <w:r>
        <w:t xml:space="preserve">Confidential information should not be shared outside Canopi, or used for anything other than Canopi's business, without approval from Bionka Randolph.</w:t>
      </w:r>
    </w:p>
    <w:p>
      <w:pPr>
        <w:pStyle w:val="ListParagraph"/>
        <w:numPr>
          <w:ilvl w:val="0"/>
          <w:numId w:val="2"/>
        </w:numPr>
        <w:spacing w:after="60"/>
      </w:pPr>
      <w:r>
        <w:t xml:space="preserve">Specific confidentiality, IP assignment, and non-solicitation terms live in each team member's individual agreement; this handbook describes the general expectation, not the binding legal terms.</w:t>
      </w:r>
    </w:p>
    <w:p>
      <w:pPr>
        <w:pStyle w:val="Heading1"/>
        <w:spacing w:after="150" w:before="300"/>
      </w:pPr>
      <w:r>
        <w:t xml:space="preserve">11. Acceptable Use of Company Technology</w:t>
      </w:r>
    </w:p>
    <w:p>
      <w:pPr>
        <w:pStyle w:val="ListParagraph"/>
        <w:numPr>
          <w:ilvl w:val="0"/>
          <w:numId w:val="2"/>
        </w:numPr>
        <w:spacing w:after="60"/>
      </w:pPr>
      <w:r>
        <w:t xml:space="preserve">Company accounts, tools, and equipment should be used primarily for Canopi-related work.</w:t>
      </w:r>
    </w:p>
    <w:p>
      <w:pPr>
        <w:pStyle w:val="ListParagraph"/>
        <w:numPr>
          <w:ilvl w:val="0"/>
          <w:numId w:val="2"/>
        </w:numPr>
        <w:spacing w:after="60"/>
      </w:pPr>
      <w:r>
        <w:t xml:space="preserve">Team members are responsible for safeguarding company equipment and credentials, and should report lost, stolen, or compromised equipment or accounts to Bionka Randolph immediately.</w:t>
      </w:r>
    </w:p>
    <w:p>
      <w:pPr>
        <w:pStyle w:val="ListParagraph"/>
        <w:numPr>
          <w:ilvl w:val="0"/>
          <w:numId w:val="2"/>
        </w:numPr>
        <w:spacing w:after="60"/>
      </w:pPr>
      <w:r>
        <w:t xml:space="preserve">Access to company tools and systems should not be shared with anyone outside Canopi.</w:t>
      </w:r>
    </w:p>
    <w:p>
      <w:pPr>
        <w:pStyle w:val="ListParagraph"/>
        <w:numPr>
          <w:ilvl w:val="0"/>
          <w:numId w:val="2"/>
        </w:numPr>
        <w:spacing w:after="60"/>
      </w:pPr>
      <w:r>
        <w:t xml:space="preserve">See the IT/System Access Request SOP (Knowledge Base &gt; SOPs) for how to request access to a new tool, and the Acceptable Use Policy (Knowledge Base &gt; Policies) once formalized for further detail.</w:t>
      </w:r>
    </w:p>
    <w:p>
      <w:pPr>
        <w:pStyle w:val="Heading1"/>
        <w:spacing w:after="150" w:before="300"/>
      </w:pPr>
      <w:r>
        <w:t xml:space="preserve">12. Health &amp; Safety</w:t>
      </w:r>
    </w:p>
    <w:p>
      <w:pPr>
        <w:spacing w:after="120"/>
      </w:pPr>
      <w:r>
        <w:t xml:space="preserve">As a remote-first team, most health and safety considerations relate to maintaining a safe, reasonably ergonomic home working environment. Team members are encouraged to set up their workspace with their own wellbeing in mind. Anyone with a workplace safety concern, remote or otherwise, should raise it with Bionka Randolph or Angela Tino.</w:t>
      </w:r>
    </w:p>
    <w:p>
      <w:pPr>
        <w:pStyle w:val="Heading1"/>
        <w:spacing w:after="150" w:before="300"/>
      </w:pPr>
      <w:r>
        <w:t xml:space="preserve">13. Hiring, Onboarding &amp; Offboarding</w:t>
      </w:r>
    </w:p>
    <w:p>
      <w:pPr>
        <w:spacing w:after="120"/>
      </w:pPr>
      <w:r>
        <w:t xml:space="preserve">Canopi's hiring, onboarding, and offboarding processes are documented separately and kept up to date as they evolve: see the Hiring &amp; Recruitment SOP, New Hire Onboarding &amp; Equipment Setup SOP, and Offboarding SOP (Knowledge Base &gt; SOPs).</w:t>
      </w:r>
    </w:p>
    <w:p>
      <w:pPr>
        <w:pStyle w:val="Heading1"/>
        <w:spacing w:after="150" w:before="300"/>
      </w:pPr>
      <w:r>
        <w:t xml:space="preserve">14. Nature of Employment</w:t>
      </w:r>
    </w:p>
    <w:p>
      <w:pPr>
        <w:spacing w:after="120"/>
      </w:pPr>
      <w:r>
        <w:t xml:space="preserve">For team members formally classified as employees, Canopi intends this to be an at-will working relationship — meaning either the team member or Canopi may end the relationship at any time, with or without cause or advance notice, subject to the Offboarding SOP's notice expectations where applicable. For team members engaged as contractors, co-founders, or advisors, the terms of their individual agreement govern instead. This section should be finalized once Section 3's classification question is resolved.</w:t>
      </w:r>
    </w:p>
    <w:p>
      <w:pPr>
        <w:pStyle w:val="Heading1"/>
        <w:spacing w:after="150" w:before="300"/>
      </w:pPr>
      <w:r>
        <w:t xml:space="preserve">15. Handbook Updates</w:t>
      </w:r>
    </w:p>
    <w:p>
      <w:pPr>
        <w:spacing w:after="120"/>
      </w:pPr>
      <w:r>
        <w:t xml:space="preserve">This handbook will be reviewed periodically and updated as Canopi grows and as open items are resolved. Team members will be notified of material changes.</w:t>
      </w:r>
    </w:p>
    <w:p>
      <w:pPr>
        <w:pStyle w:val="Heading1"/>
        <w:spacing w:after="150" w:before="300"/>
      </w:pPr>
      <w:r>
        <w:t xml:space="preserve">Note on Legal Review</w:t>
      </w:r>
    </w:p>
    <w:p>
      <w:pPr>
        <w:spacing w:after="120"/>
      </w:pPr>
      <w:r>
        <w:t xml:space="preserve">This handbook was written to be a genuinely usable first draft, not just a placeholder — but it hasn't been reviewed by an employment attorney, and a few things depend on decisions Canopi hasn't finalized. Before treating this as official policy, get it in front of an employment attorney licensed in the state(s) where Canopi has team members, with particular attention to:</w:t>
      </w:r>
    </w:p>
    <w:p>
      <w:pPr>
        <w:pStyle w:val="ListParagraph"/>
        <w:numPr>
          <w:ilvl w:val="0"/>
          <w:numId w:val="2"/>
        </w:numPr>
        <w:spacing w:after="60"/>
      </w:pPr>
      <w:r>
        <w:t xml:space="preserve">Employment classification (Section 3) — this affects compensation, at-will language, and IP/confidentiality terms, and should be resolved first.</w:t>
      </w:r>
    </w:p>
    <w:p>
      <w:pPr>
        <w:pStyle w:val="ListParagraph"/>
        <w:numPr>
          <w:ilvl w:val="0"/>
          <w:numId w:val="2"/>
        </w:numPr>
        <w:spacing w:after="60"/>
      </w:pPr>
      <w:r>
        <w:t xml:space="preserve">Equal Opportunity (Section 4) — required notices and protected categories vary by state.</w:t>
      </w:r>
    </w:p>
    <w:p>
      <w:pPr>
        <w:pStyle w:val="ListParagraph"/>
        <w:numPr>
          <w:ilvl w:val="0"/>
          <w:numId w:val="2"/>
        </w:numPr>
        <w:spacing w:after="60"/>
      </w:pPr>
      <w:r>
        <w:t xml:space="preserve">Compensation &amp; Equity (Section 7) and Nature of Employment (Section 14) — both depend on the classification decision and on wage law in the relevant state(s).</w:t>
      </w:r>
    </w:p>
    <w:p>
      <w:pPr>
        <w:pStyle w:val="ListParagraph"/>
        <w:numPr>
          <w:ilvl w:val="0"/>
          <w:numId w:val="2"/>
        </w:numPr>
        <w:spacing w:after="60"/>
      </w:pPr>
      <w:r>
        <w:t xml:space="preserve">Confidentiality &amp; IP (Section 10) — the binding terms should live in individual agreements drafted or reviewed by an attorney, not solely in this handbook.</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 w:type="paragraph" w:styleId="Heading2">
    <w:name w:val="Heading 2"/>
    <w:basedOn w:val="Normal"/>
    <w:next w:val="Normal"/>
    <w:qFormat/>
    <w:rPr>
      <w:rFonts w:ascii="Inter" w:cs="Inter" w:eastAsia="Inter" w:hAnsi="Inter"/>
      <w:b/>
      <w:bCs/>
      <w:color w:val="2D00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2026-07-22T04:08:28.999Z</dcterms:created>
  <dcterms:modified xsi:type="dcterms:W3CDTF">2026-07-22T04:08:29.029Z</dcterms:modified>
</cp:coreProperties>
</file>

<file path=docProps/custom.xml><?xml version="1.0" encoding="utf-8"?>
<Properties xmlns="http://schemas.openxmlformats.org/officeDocument/2006/custom-properties" xmlns:vt="http://schemas.openxmlformats.org/officeDocument/2006/docPropsVTypes"/>
</file>