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9191C"/>
          <w:sz w:val="64"/>
          <w:szCs w:val="64"/>
        </w:rPr>
        <w:t xml:space="preserve">WheatQTLdb V3.0</w:t>
      </w:r>
    </w:p>
    <w:p>
      <w:pPr>
        <w:spacing w:after="360"/>
      </w:pPr>
      <w:r>
        <w:rPr>
          <w:rFonts w:ascii="Arial" w:cs="Arial" w:eastAsia="Arial" w:hAnsi="Arial"/>
          <w:color w:val="15803D"/>
          <w:sz w:val="40"/>
          <w:szCs w:val="40"/>
        </w:rPr>
        <w:t xml:space="preserve">User guide</w:t>
      </w:r>
    </w:p>
    <w:p>
      <w:pPr>
        <w:spacing w:after="360" w:line="340"/>
      </w:pPr>
      <w:r>
        <w:rPr>
          <w:rFonts w:ascii="Arial" w:cs="Arial" w:eastAsia="Arial" w:hAnsi="Arial"/>
          <w:color w:val="57575F"/>
          <w:sz w:val="24"/>
          <w:szCs w:val="24"/>
        </w:rPr>
        <w:t xml:space="preserve">A step-by-step tour of the database: how to search it, browse and export its tables, read its statistics and use its genome maps. Each screenshot is numbered; the list under it explains every numbered item.</w:t>
      </w:r>
    </w:p>
    <w:p>
      <w:pPr>
        <w:spacing w:after="120" w:line="30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The database is at </w:t>
      </w:r>
      <w:hyperlink w:history="1" r:id="rId0tvzufpjflgmqtqf8ervq">
        <w:r>
          <w:rPr>
            <w:rFonts w:ascii="Arial" w:cs="Arial" w:eastAsia="Arial" w:hAnsi="Arial"/>
            <w:color w:val="15803D"/>
            <w:sz w:val="21"/>
            <w:szCs w:val="21"/>
            <w:u w:val="single"/>
          </w:rPr>
          <w:t xml:space="preserve">https://wheatqtldbv3.org</w:t>
        </w:r>
      </w:hyperlink>
      <w:r>
        <w:rPr>
          <w:rFonts w:ascii="Arial" w:cs="Arial" w:eastAsia="Arial" w:hAnsi="Arial"/>
          <w:color w:val="19191C"/>
          <w:sz w:val="21"/>
          <w:szCs w:val="21"/>
        </w:rPr>
        <w:t xml:space="preserve">. This guide is also available on the site under Tutorial.</w:t>
      </w:r>
    </w:p>
    <w:p>
      <w:pPr>
        <w:spacing w:after="12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At the time this guide was generated the database held 80,640 QTL / MTA records, 3,058 MetaQTLs and 1,226 epistatic QTL pairs from 1,380 publications.</w:t>
      </w:r>
    </w:p>
    <w:p>
      <w:pPr>
        <w:spacing w:after="160" w:before="480"/>
      </w:pPr>
      <w:r>
        <w:rPr>
          <w:rFonts w:ascii="Arial" w:cs="Arial" w:eastAsia="Arial" w:hAnsi="Arial"/>
          <w:b/>
          <w:bCs/>
          <w:color w:val="19191C"/>
          <w:sz w:val="28"/>
          <w:szCs w:val="28"/>
        </w:rPr>
        <w:t xml:space="preserve">Contents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1.  Home page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2.  Home page: browse by chromosome and news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3.  Search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4.  Data tables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5.  Working with a table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6.  Statistics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7.  Statistics: charts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8.  Genome map: Circos view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9.  Genome map: Ideogram view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10.  Genome map: Linkage (cM) view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11.  Linkage maps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12.  Publications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13.  Candidate genes</w:t>
      </w:r>
    </w:p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1.  Home page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home page is the starting point: search the whole database, see how much it holds, and jump straight to a trait.</w:t>
      </w:r>
    </w:p>
    <w:p>
      <w:pPr>
        <w:spacing w:after="200"/>
      </w:pPr>
      <w:r>
        <w:drawing>
          <wp:inline distT="0" distB="0" distL="0" distR="0">
            <wp:extent cx="6115050" cy="4543425"/>
            <wp:effectExtent t="0" r="0" b="0" l="0"/>
            <wp:docPr id="1" name="home" descr="Screenshot of the Home page page with numbered arrows" title="Home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Menu.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Every part of the database is one click away: Statistics, Map, Data, Search, Linkage maps, Publications, News and this Tutorial.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Search box.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Type a QTL name, trait, marker, gene or author and press Search. The examples below it (Drought, Rht-B1, Fhb1 …) run a search in one click.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Quick links.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Open the data tables, the Statistics page or the Genome map.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Live counts.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QTL, MetaQTL, epistatic QTL pairs, multi-trait QTL and species, read from the current data. Click a number to open that table.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Browse by trait.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Each tile shows how many QTL the trait has and opens the Search page with that trait already selected.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2.  Home page: browse by chromosome and news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Further down the home page you can pick a chromosome, read what has changed recently and copy the citation.</w:t>
      </w:r>
    </w:p>
    <w:p>
      <w:pPr>
        <w:spacing w:after="200"/>
      </w:pPr>
      <w:r>
        <w:drawing>
          <wp:inline distT="0" distB="0" distL="0" distR="0">
            <wp:extent cx="6115050" cy="4371975"/>
            <wp:effectExtent t="0" r="0" b="0" l="0"/>
            <wp:docPr id="1" name="home-chromosome" descr="Screenshot of the Home page: browse by chromosome and news page with numbered arrows" title="Home page: browse by chromosome and ne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Chromosome picker.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21 chromosomes drawn at their relative lengths and coloured by subgenome. Click one to list all of its QTL.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News.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Data releases and new features, most recent first. “All news” opens the full list.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3.  Search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Search combines free text with filters. Filters narrow the table as you set them, and the web address changes with them, so a search can be bookmarked or shared.</w:t>
      </w:r>
    </w:p>
    <w:p>
      <w:pPr>
        <w:spacing w:after="200"/>
      </w:pPr>
      <w:r>
        <w:drawing>
          <wp:inline distT="0" distB="0" distL="0" distR="0">
            <wp:extent cx="6115050" cy="4714875"/>
            <wp:effectExtent t="0" r="0" b="0" l="0"/>
            <wp:docPr id="1" name="search" descr="Screenshot of the Search page with numbered arrows" title="Sear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Free text.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Matches QTL name, trait, parameter, marker, candidate gene, reference, cross and population.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Trait class.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One of the five main traits. Choosing one limits the Trait list to its sub-categories.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Trait.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A single trait, such as Drought tolerance or Fungal resistance. Biofortification and Nutrient use efficiency offer a further Sub-trait list.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Chromosome and species.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Limit the results to one chromosome or one species.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PVE range.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Keep only QTL whose phenotypic variance explained falls between a minimum and a maximum (in %).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6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Other filters.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Show only QTL with a candidate gene, or only multi-trait (pleiotropic) QTL.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7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Result count.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How many records match, out of the whole database, and which traits they belong to.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8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Export CSV.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Downloads exactly the rows that match, with every column, for use in R, Python or Excel.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9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Reset.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Clears every filter.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4.  Data tables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Data page lists every table in the database. Each opens as a sortable, searchable table that can be exported.</w:t>
      </w:r>
    </w:p>
    <w:p>
      <w:pPr>
        <w:spacing w:after="200"/>
      </w:pPr>
      <w:r>
        <w:drawing>
          <wp:inline distT="0" distB="0" distL="0" distR="0">
            <wp:extent cx="6115050" cy="3752850"/>
            <wp:effectExtent t="0" r="0" b="0" l="0"/>
            <wp:docPr id="1" name="data" descr="Screenshot of the Data tables page with numbered arrows" title="Data tab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QTL.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All main effect QTL and marker–trait associations.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MetaQTL and epistatic QTL.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Consensus QTL regions across studies, and QTL × QTL interactions.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Candidate genes.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Every gene named as a candidate, linked to GrainGenes or Ensembl Plants.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5.  Working with a table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Every table works the same way, whether it is QTL, MetaQTL, candidate genes or publications.</w:t>
      </w:r>
    </w:p>
    <w:p>
      <w:pPr>
        <w:spacing w:after="200"/>
      </w:pPr>
      <w:r>
        <w:drawing>
          <wp:inline distT="0" distB="0" distL="0" distR="0">
            <wp:extent cx="6115050" cy="3933825"/>
            <wp:effectExtent t="0" r="0" b="0" l="0"/>
            <wp:docPr id="1" name="table" descr="Screenshot of the Working with a table page with numbered arrows" title="Working with a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Search the table.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Filters the rows as you type, across all columns.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Row count.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rows currently shown.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Export CSV.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Downloads the rows currently shown.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Sort and definitions.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Click a column heading to sort by it; click again to reverse. Hover the small “?” for the definition of the column.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Reference.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Opens the source publication. A dash means the source did not report that value.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6.  Statistics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Statistics page summarises what the database holds. All numbers are computed from the current data when the page opens.</w:t>
      </w:r>
    </w:p>
    <w:p>
      <w:pPr>
        <w:spacing w:after="200"/>
      </w:pPr>
      <w:r>
        <w:drawing>
          <wp:inline distT="0" distB="0" distL="0" distR="0">
            <wp:extent cx="6115050" cy="4629150"/>
            <wp:effectExtent t="0" r="0" b="0" l="0"/>
            <wp:docPr id="1" name="statistics" descr="Screenshot of the Statistics page with numbered arrows" title="Statist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Totals.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QTL, MetaQTL, epistatic QTL pairs and source publications.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Main traits.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five main traits with their totals. The bar length is proportional to the number of QTL.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Sub-categories.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Each sub-category with its count and its share of all records. The rows add up to the total.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7.  Statistics: charts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Below the trait table are charts by chromosome and publication year, and summaries of position type, species and literature coverage.</w:t>
      </w:r>
    </w:p>
    <w:p>
      <w:pPr>
        <w:spacing w:after="200"/>
      </w:pPr>
      <w:r>
        <w:drawing>
          <wp:inline distT="0" distB="0" distL="0" distR="0">
            <wp:extent cx="6115050" cy="4714875"/>
            <wp:effectExtent t="0" r="0" b="0" l="0"/>
            <wp:docPr id="1" name="statistics-charts" descr="Screenshot of the Statistics: charts page with numbered arrows" title="Statistics: ch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QTL by chromosome.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Bars are coloured by subgenome (A, B, D). Hover a bar to read its exact value.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Save a chart.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Hover a chart and click the camera icon to save it as a high-resolution PNG.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QTL by publication year.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year of the study each QTL came from.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Type of map position.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How many QTL have a physical position, a genetic position only, or none.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8.  Genome map: Circos view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Map page draws QTL and MetaQTL on the wheat genome. The Circos view shows all 21 chromosomes in a circle.</w:t>
      </w:r>
    </w:p>
    <w:p>
      <w:pPr>
        <w:spacing w:after="200"/>
      </w:pPr>
      <w:r>
        <w:drawing>
          <wp:inline distT="0" distB="0" distL="0" distR="0">
            <wp:extent cx="6115050" cy="6553200"/>
            <wp:effectExtent t="0" r="0" b="0" l="0"/>
            <wp:docPr id="1" name="map-circos" descr="Screenshot of the Genome map: Circos view page with numbered arrows" title="Genome map: Circos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Layers.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Switch QTL, MetaQTL and epistatic links on or off.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Choose the view.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Ideogram and Circos show QTL with a physical position; Linkage (cM) shows QTL mapped only on a genetic map.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Export.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Save the current view as SVG, PNG or JPEG. PNG and JPEG are saved at print resolution.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Search the map.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Shows only the QTL whose name, trait, parameter or candidate gene matches.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Subgenome.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Limit the view to the A, B or D subgenome.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6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Highlight traits.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Click one or several traits to show only those. The colours here are the colours used in the plot.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7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The plot.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Outer ring: chromosomes. Next ring: QTL density. Inner rings: one ring per trait for MetaQTL and for QTL. Hover any mark for its details.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9.  Genome map: Ideogram view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Ideogram view lays the chromosomes side by side, each at its true physical length.</w:t>
      </w:r>
    </w:p>
    <w:p>
      <w:pPr>
        <w:spacing w:after="200"/>
      </w:pPr>
      <w:r>
        <w:drawing>
          <wp:inline distT="0" distB="0" distL="0" distR="0">
            <wp:extent cx="6115050" cy="5457825"/>
            <wp:effectExtent t="0" r="0" b="0" l="0"/>
            <wp:docPr id="1" name="map-ideogram" descr="Screenshot of the Genome map: Ideogram view page with numbered arrows" title="Genome map: Ideogra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Chromosomes.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Height is proportional to physical length; the pinch marks the centromere. The strip beside each chromosome shows QTL density, coloured by the most frequent trait, and the brackets are MetaQTL intervals.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10.  Genome map: Linkage (cM) view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Many QTL were published with a genetic-map position only. They cannot be placed on the physical views, so they are drawn here on a centimorgan scale.</w:t>
      </w:r>
    </w:p>
    <w:p>
      <w:pPr>
        <w:spacing w:after="200"/>
      </w:pPr>
      <w:r>
        <w:drawing>
          <wp:inline distT="0" distB="0" distL="0" distR="0">
            <wp:extent cx="6115050" cy="5457825"/>
            <wp:effectExtent t="0" r="0" b="0" l="0"/>
            <wp:docPr id="1" name="map-linkage" descr="Screenshot of the Genome map: Linkage (cM) view page with numbered arrows" title="Genome map: Linkage (cM)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How many are shown.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QTL drawn by their genetic position.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cM scale.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Each strip is a 5 cM window: its length shows how many QTL were reported there and its colour the most frequent trait. Positions are as published, each on its own study’s map.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11.  Linkage maps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Genetic maps behind the mapped QTL: the GrainGenes catalogue plus maps whose marker positions can be viewed here.</w:t>
      </w:r>
    </w:p>
    <w:p>
      <w:pPr>
        <w:spacing w:after="200"/>
      </w:pPr>
      <w:r>
        <w:drawing>
          <wp:inline distT="0" distB="0" distL="0" distR="0">
            <wp:extent cx="6115050" cy="5153025"/>
            <wp:effectExtent t="0" r="0" b="0" l="0"/>
            <wp:docPr id="1" name="linkage-maps" descr="Screenshot of the Linkage maps page with numbered arrows" title="Linkage ma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Viewable maps.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How many of the catalogued maps can be drawn with their marker positions.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Map viewer.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One bar per linkage group; shading shows marker density. Click a group to list its markers.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Choose a map.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Maps with marker positions are listed first; the others are catalogue records with a link to GrainGenes.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12.  Publications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Every study behind a record, with its title, authors, journal, year and the number of records it contributed.</w:t>
      </w:r>
    </w:p>
    <w:p>
      <w:pPr>
        <w:spacing w:after="200"/>
      </w:pPr>
      <w:r>
        <w:drawing>
          <wp:inline distT="0" distB="0" distL="0" distR="0">
            <wp:extent cx="6115050" cy="3933825"/>
            <wp:effectExtent t="0" r="0" b="0" l="0"/>
            <wp:docPr id="1" name="publications" descr="Screenshot of the Publications page with numbered arrows" title="Publ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Summary.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publications and the years they span.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Decade.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Show only the publications of one decade.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Title.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Opens the publication. The Records column shows how many records came from it.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13.  Candidate genes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Genes proposed as underlying a QTL, each with the link that suits its identifier.</w:t>
      </w:r>
    </w:p>
    <w:p>
      <w:pPr>
        <w:spacing w:after="200"/>
      </w:pPr>
      <w:r>
        <w:drawing>
          <wp:inline distT="0" distB="0" distL="0" distR="0">
            <wp:extent cx="6115050" cy="3752850"/>
            <wp:effectExtent t="0" r="0" b="0" l="0"/>
            <wp:docPr id="1" name="candidate-genes" descr="Screenshot of the Candidate genes page with numbered arrows" title="Candidate ge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Kind of identifier.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Says whether the entry is a gene symbol, an annotation gene model or a functional description.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Resources.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Gene symbols open in GrainGenes; gene models open in Ensembl Plants; a position opens the genome browser at that location.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57575F"/>
        <w:sz w:val="16"/>
        <w:szCs w:val="16"/>
      </w:rPr>
      <w:t xml:space="preserve">WheatQTLdb V3.0 user guide</w:t>
    </w:r>
    <w:r>
      <w:rPr>
        <w:rFonts w:ascii="Arial" w:cs="Arial" w:eastAsia="Arial" w:hAnsi="Arial"/>
        <w:color w:val="57575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0tvzufpjflgmqtqf8ervq" Type="http://schemas.openxmlformats.org/officeDocument/2006/relationships/hyperlink" Target="https://wheatqtldbv3.org" TargetMode="External"/><Relationship Id="rId8" Type="http://schemas.openxmlformats.org/officeDocument/2006/relationships/image" Target="media/dfc2baf5603cc7c2cc04abac40ae72f004bb5c11.png"/><Relationship Id="rId9" Type="http://schemas.openxmlformats.org/officeDocument/2006/relationships/image" Target="media/f893650f794ee664a7192fdb06c467a4ab1e304c.png"/><Relationship Id="rId10" Type="http://schemas.openxmlformats.org/officeDocument/2006/relationships/image" Target="media/781785f05d1d9737cd1aa83a8196b0952c1d13ef.png"/><Relationship Id="rId11" Type="http://schemas.openxmlformats.org/officeDocument/2006/relationships/image" Target="media/7d2b19df54516fb47da91e39d4c5d91b3eea1efc.png"/><Relationship Id="rId12" Type="http://schemas.openxmlformats.org/officeDocument/2006/relationships/image" Target="media/d847d80d66291d98548ed88bd9a0a4fc304667a5.png"/><Relationship Id="rId13" Type="http://schemas.openxmlformats.org/officeDocument/2006/relationships/image" Target="media/acece319722d8d4a9809429027db34617bd208fe.png"/><Relationship Id="rId14" Type="http://schemas.openxmlformats.org/officeDocument/2006/relationships/image" Target="media/56b4971204357b29ccf4f969f3d435502a332802.png"/><Relationship Id="rId15" Type="http://schemas.openxmlformats.org/officeDocument/2006/relationships/image" Target="media/cdfebfab5eba0ef89f2a14bcbb040ca99d292481.png"/><Relationship Id="rId16" Type="http://schemas.openxmlformats.org/officeDocument/2006/relationships/image" Target="media/b81abae72633093a247e353ceae91c330a009dd4.png"/><Relationship Id="rId17" Type="http://schemas.openxmlformats.org/officeDocument/2006/relationships/image" Target="media/f6e748f4f3d6c5201e6ed243ec61976031bdb831.png"/><Relationship Id="rId18" Type="http://schemas.openxmlformats.org/officeDocument/2006/relationships/image" Target="media/0a5c663334f0b01609b607bd8ad81c1217f8185a.png"/><Relationship Id="rId19" Type="http://schemas.openxmlformats.org/officeDocument/2006/relationships/image" Target="media/c561f8d5a3a745ea2fcd5132a4209eee27588181.png"/><Relationship Id="rId20" Type="http://schemas.openxmlformats.org/officeDocument/2006/relationships/image" Target="media/c69be083625f4b689deb6346805d5e3538514be7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WheatQTLdb V3.0 user guide</dc:title>
  <dc:creator>WheatQTLdb</dc:creator>
  <dc:description>Annotated guide to the WheatQTLdb V3.0 website</dc:description>
  <cp:lastModifiedBy>Un-named</cp:lastModifiedBy>
  <cp:revision>1</cp:revision>
  <dcterms:created xsi:type="dcterms:W3CDTF">2026-10-15T20:39:09.693Z</dcterms:created>
  <dcterms:modified xsi:type="dcterms:W3CDTF">2026-10-15T20:39:09.695Z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