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19191C"/>
          <w:sz w:val="64"/>
          <w:szCs w:val="64"/>
        </w:rPr>
        <w:t xml:space="preserve">WheatQTLdb V3.0</w:t>
      </w:r>
    </w:p>
    <w:p>
      <w:pPr>
        <w:spacing w:after="360"/>
      </w:pPr>
      <w:r>
        <w:rPr>
          <w:rFonts w:ascii="Arial" w:cs="Arial" w:eastAsia="Arial" w:hAnsi="Arial"/>
          <w:color w:val="15803D"/>
          <w:sz w:val="40"/>
          <w:szCs w:val="40"/>
        </w:rPr>
        <w:t xml:space="preserve">User guide</w:t>
      </w:r>
    </w:p>
    <w:p>
      <w:pPr>
        <w:spacing w:after="360" w:line="340"/>
      </w:pPr>
      <w:r>
        <w:rPr>
          <w:rFonts w:ascii="Arial" w:cs="Arial" w:eastAsia="Arial" w:hAnsi="Arial"/>
          <w:color w:val="57575F"/>
          <w:sz w:val="24"/>
          <w:szCs w:val="24"/>
        </w:rPr>
        <w:t xml:space="preserve">A step-by-step tour of the database: how to search it, browse and export its tables, read its statistics and use its genome maps. Each screenshot is numbered; the list under it explains every numbered item.</w:t>
      </w:r>
    </w:p>
    <w:p>
      <w:pPr>
        <w:spacing w:after="120" w:line="30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The database is at </w:t>
      </w:r>
      <w:hyperlink w:history="1" r:id="rIdgx_ym_arllawxerf9k23a">
        <w:r>
          <w:rPr>
            <w:rFonts w:ascii="Arial" w:cs="Arial" w:eastAsia="Arial" w:hAnsi="Arial"/>
            <w:color w:val="15803D"/>
            <w:sz w:val="21"/>
            <w:szCs w:val="21"/>
            <w:u w:val="single"/>
          </w:rPr>
          <w:t xml:space="preserve">https://wheatqtldbv3.org</w:t>
        </w:r>
      </w:hyperlink>
      <w:r>
        <w:rPr>
          <w:rFonts w:ascii="Arial" w:cs="Arial" w:eastAsia="Arial" w:hAnsi="Arial"/>
          <w:color w:val="19191C"/>
          <w:sz w:val="21"/>
          <w:szCs w:val="21"/>
        </w:rPr>
        <w:t xml:space="preserve">. This guide is also available on the site under Tutorial.</w:t>
      </w:r>
    </w:p>
    <w:p>
      <w:pPr>
        <w:spacing w:after="12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At the time this guide was generated the database held 80,640 QTL / MTA records, 3,058 MetaQTLs and 1,226 epistatic QTL pairs from 1,383 publications.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9191C"/>
          <w:sz w:val="28"/>
          <w:szCs w:val="28"/>
        </w:rPr>
        <w:t xml:space="preserve">Contents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1.  Home page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2.  Home page: browse by chromosome and news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3.  Search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4.  Data tables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5.  Working with a table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6.  Statistics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7.  Statistics: charts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8.  Genome map: Circos view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9.  Genome map: Ideogram view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10.  Genome map: Linkage (cM) view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11.  Linkage maps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12.  Publications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13.  Candidate genes</w:t>
      </w:r>
    </w:p>
    <w:p>
      <w:pPr>
        <w:spacing w:after="60"/>
      </w:pPr>
      <w:r>
        <w:rPr>
          <w:rFonts w:ascii="Arial" w:cs="Arial" w:eastAsia="Arial" w:hAnsi="Arial"/>
          <w:color w:val="19191C"/>
          <w:sz w:val="21"/>
          <w:szCs w:val="21"/>
        </w:rPr>
        <w:t xml:space="preserve">14.  Studies awaiting curation and News</w:t>
      </w:r>
    </w:p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1.  Home page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The home page is the starting point: search the whole database, see how much it holds, and jump straight to a trait.</w:t>
      </w:r>
    </w:p>
    <w:p>
      <w:pPr>
        <w:spacing w:after="200"/>
      </w:pPr>
      <w:r>
        <w:drawing>
          <wp:inline distT="0" distB="0" distL="0" distR="0">
            <wp:extent cx="6115050" cy="4543425"/>
            <wp:effectExtent t="0" r="0" b="0" l="0"/>
            <wp:docPr id="1" name="home" descr="Screenshot of the Home page page with numbered arrows" title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Menu.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Every part of the database is one click away: Statistics, Map, Data, Search, Linkage maps, Publications, News and this Tutorial.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Search box.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Type a QTL name, trait, marker, gene or author and press Search. The examples below it (Drought, Rht-B1, Fhb1 …) run a search in one click.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Quick links.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Open the data tables, the Statistics page or the Genome map.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Live counts.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The number of QTL, MetaQTL, epistatic QTL pairs, multi-trait QTL and species, read from the current data. Click a number to open that table.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Browse by trait.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Each tile shows how many QTL the trait has and opens the Search page with that trait already selected.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2.  Home page: browse by chromosome and news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Further down the home page you can pick a chromosome, read what has changed recently and copy the citation.</w:t>
      </w:r>
    </w:p>
    <w:p>
      <w:pPr>
        <w:spacing w:after="200"/>
      </w:pPr>
      <w:r>
        <w:drawing>
          <wp:inline distT="0" distB="0" distL="0" distR="0">
            <wp:extent cx="6115050" cy="4371975"/>
            <wp:effectExtent t="0" r="0" b="0" l="0"/>
            <wp:docPr id="2" name="home-chromosome" descr="Screenshot of the Home page: browse by chromosome and news page with numbered arrows" title="Home page: browse by chromosome and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Chromosome picker.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The 21 chromosomes drawn at their relative lengths and coloured by subgenome. Click one to list all of its QTL.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News.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Data releases and new features, most recent first. “All news” opens the full list.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3.  Search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Search combines free text with filters. Filters narrow the table as you set them, and the web address changes with them, so a search can be bookmarked or shared.</w:t>
      </w:r>
    </w:p>
    <w:p>
      <w:pPr>
        <w:spacing w:after="200"/>
      </w:pPr>
      <w:r>
        <w:drawing>
          <wp:inline distT="0" distB="0" distL="0" distR="0">
            <wp:extent cx="6115050" cy="4714875"/>
            <wp:effectExtent t="0" r="0" b="0" l="0"/>
            <wp:docPr id="3" name="search" descr="Screenshot of the Search page with numbered arrows" title="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Free text.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Matches QTL name, trait, parameter, marker, candidate gene, reference, cross and population.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Trait class.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One of the five main traits. Choosing one limits the Trait list to its sub-categories.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Trait.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A single trait, such as Drought tolerance or Fungal resistance. Biofortification and Nutrient use efficiency offer a further Sub-trait list.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Chromosome and species.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Limit the results to one chromosome or one species.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PVE range.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Keep only QTL whose phenotypic variance explained falls between a minimum and a maximum (in %).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Other filters.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Show only QTL with a candidate gene, or only multi-trait (pleiotropic) QTL.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Result count.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How many records match, out of the whole database, and which traits they belong 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Export CSV.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Downloads exactly the rows that match, with every column, for use in R, Python or Excel.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9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Reset.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Clears every filter.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4.  Data tables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The Data page lists every table in the database. Each opens as a sortable, searchable table that can be exported.</w:t>
      </w:r>
    </w:p>
    <w:p>
      <w:pPr>
        <w:spacing w:after="200"/>
      </w:pPr>
      <w:r>
        <w:drawing>
          <wp:inline distT="0" distB="0" distL="0" distR="0">
            <wp:extent cx="6115050" cy="3752850"/>
            <wp:effectExtent t="0" r="0" b="0" l="0"/>
            <wp:docPr id="4" name="data" descr="Screenshot of the Data tables page with numbered arrows" title="Data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QTL.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All main effect QTL and marker–trait associations.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MetaQTL and epistatic QTL.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Consensus QTL regions across studies, and QTL × QTL interactions.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Candidate genes.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Every gene named as a candidate, linked to GrainGenes or Ensembl Plants.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GWAS Atlas associations.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Marker–trait associations imported from GWAS Atlas. They are a separate table and are not part of the QTL counts.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Studies awaiting curation.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Papers found in the literature that are not yet in the database.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5.  Working with a table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Every table works the same way, whether it is QTL, MetaQTL, candidate genes or publications.</w:t>
      </w:r>
    </w:p>
    <w:p>
      <w:pPr>
        <w:spacing w:after="200"/>
      </w:pPr>
      <w:r>
        <w:drawing>
          <wp:inline distT="0" distB="0" distL="0" distR="0">
            <wp:extent cx="6115050" cy="3933825"/>
            <wp:effectExtent t="0" r="0" b="0" l="0"/>
            <wp:docPr id="5" name="table" descr="Screenshot of the Working with a table page with numbered arrows" title="Working with 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Search the table.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Filters the rows as you type, across all columns.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Row count.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The number of rows currently shown.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Export CSV.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Downloads the rows currently shown.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Sort and definitions.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Click a column heading to sort by it; click again to reverse. Hover the small “?” for the definition of the column.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Reference.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Opens the source publication. A dash means the source did not report that value.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6.  Statistics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The Statistics page summarises what the database holds. All numbers are computed from the current data when the page opens.</w:t>
      </w:r>
    </w:p>
    <w:p>
      <w:pPr>
        <w:spacing w:after="200"/>
      </w:pPr>
      <w:r>
        <w:drawing>
          <wp:inline distT="0" distB="0" distL="0" distR="0">
            <wp:extent cx="6115050" cy="4629150"/>
            <wp:effectExtent t="0" r="0" b="0" l="0"/>
            <wp:docPr id="6" name="statistics" descr="Screenshot of the Statistics page with numbered arrows" title="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Totals.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QTL, MetaQTL, epistatic QTL pairs and source publications.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Main traits.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The five main traits with their totals. The bar length is proportional to the number of QTL.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Sub-categories.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Each sub-category with its count and its share of all records. The rows add up to the total.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7.  Statistics: charts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Below the trait table are charts by chromosome and publication year, and summaries of position type, species and literature coverage.</w:t>
      </w:r>
    </w:p>
    <w:p>
      <w:pPr>
        <w:spacing w:after="200"/>
      </w:pPr>
      <w:r>
        <w:drawing>
          <wp:inline distT="0" distB="0" distL="0" distR="0">
            <wp:extent cx="6115050" cy="4714875"/>
            <wp:effectExtent t="0" r="0" b="0" l="0"/>
            <wp:docPr id="7" name="statistics-charts" descr="Screenshot of the Statistics: charts page with numbered arrows" title="Statistics: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QTL by chromosome.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Bars are coloured by subgenome (A, B, D). Hover a bar to read its exact value.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Save a chart.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Hover a chart and click the camera icon to save it as a high-resolution PNG.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QTL by publication year.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The year of the study each QTL came from.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Type of map position.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How many QTL have a physical position, a genetic position only, or none.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8.  Genome map: Circos view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The Map page draws QTL and MetaQTL on the wheat genome. The Circos view shows all 21 chromosomes in a circle.</w:t>
      </w:r>
    </w:p>
    <w:p>
      <w:pPr>
        <w:spacing w:after="200"/>
      </w:pPr>
      <w:r>
        <w:drawing>
          <wp:inline distT="0" distB="0" distL="0" distR="0">
            <wp:extent cx="6115050" cy="6553200"/>
            <wp:effectExtent t="0" r="0" b="0" l="0"/>
            <wp:docPr id="8" name="map-circos" descr="Screenshot of the Genome map: Circos view page with numbered arrows" title="Genome map: Circos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Layers.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Switch QTL, MetaQTL, GWAS Atlas associations and epistatic links on or off.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Choose the view.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Ideogram and Circos show QTL with a physical position; Linkage (cM) shows QTL mapped only on a genetic map.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Export.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Save the current view as SVG, PNG or JPEG. PNG and JPEG are saved at print resolution.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Search the map.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Shows only the QTL whose name, trait, parameter or candidate gene matches.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Subgenome.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Limit the view to the A, B or D subgenome.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Highlight traits.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Click one or several traits to show only those. The colours here are the colours used in the plot.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The plot.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Outer ring: chromosomes. Next ring: QTL density. Inner rings: one ring per trait for MetaQTL and for QTL. Hover any mark for its details.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9.  Genome map: Ideogram view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The Ideogram view lays the chromosomes side by side, each at its true physical length.</w:t>
      </w:r>
    </w:p>
    <w:p>
      <w:pPr>
        <w:spacing w:after="200"/>
      </w:pPr>
      <w:r>
        <w:drawing>
          <wp:inline distT="0" distB="0" distL="0" distR="0">
            <wp:extent cx="6115050" cy="5457825"/>
            <wp:effectExtent t="0" r="0" b="0" l="0"/>
            <wp:docPr id="9" name="map-ideogram" descr="Screenshot of the Genome map: Ideogram view page with numbered arrows" title="Genome map: Ideogram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Chromosomes.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Height is proportional to physical length; the pinch marks the centromere. The strip beside each chromosome shows QTL density, coloured by the most frequent trait, and the brackets are MetaQTL intervals.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10.  Genome map: Linkage (cM) view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Many QTL were published with a genetic-map position only. They cannot be placed on the physical views, so they are drawn here on a centimorgan scale.</w:t>
      </w:r>
    </w:p>
    <w:p>
      <w:pPr>
        <w:spacing w:after="200"/>
      </w:pPr>
      <w:r>
        <w:drawing>
          <wp:inline distT="0" distB="0" distL="0" distR="0">
            <wp:extent cx="6115050" cy="5457825"/>
            <wp:effectExtent t="0" r="0" b="0" l="0"/>
            <wp:docPr id="10" name="map-linkage" descr="Screenshot of the Genome map: Linkage (cM) view page with numbered arrows" title="Genome map: Linkage (cM)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How many are shown.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The number of QTL drawn by their genetic position.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cM scale.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Each strip is a 5 cM window: its length shows how many QTL were reported there and its colour the most frequent trait. Positions are as published, each on its own study’s map.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11.  Linkage maps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Genetic maps behind the mapped QTL: the GrainGenes catalogue plus maps whose marker positions can be viewed here.</w:t>
      </w:r>
    </w:p>
    <w:p>
      <w:pPr>
        <w:spacing w:after="200"/>
      </w:pPr>
      <w:r>
        <w:drawing>
          <wp:inline distT="0" distB="0" distL="0" distR="0">
            <wp:extent cx="6115050" cy="5153025"/>
            <wp:effectExtent t="0" r="0" b="0" l="0"/>
            <wp:docPr id="11" name="linkage-maps" descr="Screenshot of the Linkage maps page with numbered arrows" title="Linkage 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Viewable maps.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How many of the catalogued maps can be drawn with their marker positions.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Map viewer.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One bar per linkage group; shading shows marker density. Click a group to list its markers.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Choose a map.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Maps with marker positions are listed first; the others are catalogue records with a link to GrainGenes.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12.  Publications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Every study behind a record, with its title, authors, journal, year and the number of records it contributed.</w:t>
      </w:r>
    </w:p>
    <w:p>
      <w:pPr>
        <w:spacing w:after="200"/>
      </w:pPr>
      <w:r>
        <w:drawing>
          <wp:inline distT="0" distB="0" distL="0" distR="0">
            <wp:extent cx="6115050" cy="3933825"/>
            <wp:effectExtent t="0" r="0" b="0" l="0"/>
            <wp:docPr id="12" name="publications" descr="Screenshot of the Publications page with numbered arrows" title="Pub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Summary.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The number of publications and the years they span.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Decade.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Show only the publications of one decade.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Title.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Opens the publication. The Records column shows how many records came from it.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13.  Candidate genes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Genes proposed as underlying a QTL, each with the link that suits its identifier.</w:t>
      </w:r>
    </w:p>
    <w:p>
      <w:pPr>
        <w:spacing w:after="200"/>
      </w:pPr>
      <w:r>
        <w:drawing>
          <wp:inline distT="0" distB="0" distL="0" distR="0">
            <wp:extent cx="6115050" cy="3752850"/>
            <wp:effectExtent t="0" r="0" b="0" l="0"/>
            <wp:docPr id="13" name="candidate-genes" descr="Screenshot of the Candidate genes page with numbered arrows" title="Candidate ge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Kind of identifier.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Says whether the entry is a gene symbol, an annotation gene model or a functional description.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Resources.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Gene symbols open in GrainGenes; gene models open in Ensembl Plants; a position opens the genome browser at that location.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Arial" w:cs="Arial" w:eastAsia="Arial" w:hAnsi="Arial"/>
          <w:b/>
          <w:bCs/>
          <w:color w:val="19191C"/>
          <w:sz w:val="32"/>
          <w:szCs w:val="32"/>
        </w:rPr>
        <w:t xml:space="preserve">14.  Studies awaiting curation and News</w:t>
      </w:r>
    </w:p>
    <w:p>
      <w:pPr>
        <w:spacing w:after="200" w:line="300"/>
      </w:pPr>
      <w:r>
        <w:rPr>
          <w:rFonts w:ascii="Arial" w:cs="Arial" w:eastAsia="Arial" w:hAnsi="Arial"/>
          <w:color w:val="57575F"/>
          <w:sz w:val="21"/>
          <w:szCs w:val="21"/>
        </w:rPr>
        <w:t xml:space="preserve">Papers found by a literature search that are not yet in the database. They are listed so that curators, and users, can see what is still to come; no QTL has been taken from them. New data and features are announced on the News page.</w:t>
      </w:r>
    </w:p>
    <w:p>
      <w:pPr>
        <w:spacing w:after="200"/>
      </w:pPr>
      <w:r>
        <w:drawing>
          <wp:inline distT="0" distB="0" distL="0" distR="0">
            <wp:extent cx="6115050" cy="3581400"/>
            <wp:effectExtent t="0" r="0" b="0" l="0"/>
            <wp:docPr id="14" name="pending" descr="Screenshot of the Studies awaiting curation and News page with numbered arrows" title="Studies awaiting curation and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18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Strongest candidates.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Tick to show only papers whose title reports QTL or GWAS work.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single" w:color="D1D1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Study type.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QTL mapping, GWAS, meta-QTL or epistatic QTL.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80"/>
            </w:tcMar>
          </w:tcPr>
          <w:p>
            <w:pPr>
              <w:shd w:fill="D92D20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9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9191C"/>
                <w:sz w:val="21"/>
                <w:szCs w:val="21"/>
              </w:rPr>
              <w:t xml:space="preserve">News. </w:t>
            </w:r>
            <w:r>
              <w:rPr>
                <w:rFonts w:ascii="Arial" w:cs="Arial" w:eastAsia="Arial" w:hAnsi="Arial"/>
                <w:color w:val="19191C"/>
                <w:sz w:val="21"/>
                <w:szCs w:val="21"/>
              </w:rPr>
              <w:t xml:space="preserve">Opens the list of data releases and new features.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7575F"/>
        <w:sz w:val="16"/>
        <w:szCs w:val="16"/>
      </w:rPr>
      <w:t xml:space="preserve">WheatQTLdb V3.0 user guide</w:t>
    </w:r>
    <w:r>
      <w:rPr>
        <w:rFonts w:ascii="Arial" w:cs="Arial" w:eastAsia="Arial" w:hAnsi="Arial"/>
        <w:color w:val="57575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gx_ym_arllawxerf9k23a" Type="http://schemas.openxmlformats.org/officeDocument/2006/relationships/hyperlink" Target="https://wheatqtldbv3.org" TargetMode="External"/><Relationship Id="rId9" Type="http://schemas.openxmlformats.org/officeDocument/2006/relationships/image" Target="media/934fbb75241e0fb9c4705d30b49b3c1f4b8a3e1d.png"/><Relationship Id="rId10" Type="http://schemas.openxmlformats.org/officeDocument/2006/relationships/image" Target="media/067c6b007eb60ff6d51b96751a1a4a80e525f9a3.png"/><Relationship Id="rId11" Type="http://schemas.openxmlformats.org/officeDocument/2006/relationships/image" Target="media/781785f05d1d9737cd1aa83a8196b0952c1d13ef.png"/><Relationship Id="rId12" Type="http://schemas.openxmlformats.org/officeDocument/2006/relationships/image" Target="media/99cd2b2797367675f5c2c749dcfd465627a80208.png"/><Relationship Id="rId13" Type="http://schemas.openxmlformats.org/officeDocument/2006/relationships/image" Target="media/d847d80d66291d98548ed88bd9a0a4fc304667a5.png"/><Relationship Id="rId14" Type="http://schemas.openxmlformats.org/officeDocument/2006/relationships/image" Target="media/4d67e68fe075a9b2ccd13f85056438cdb4d64779.png"/><Relationship Id="rId15" Type="http://schemas.openxmlformats.org/officeDocument/2006/relationships/image" Target="media/bc7df2c08eb5fec0648f2bf39e452224d4e475f0.png"/><Relationship Id="rId16" Type="http://schemas.openxmlformats.org/officeDocument/2006/relationships/image" Target="media/310ea7fce57c806e6433fcb5511208f6755bb483.png"/><Relationship Id="rId17" Type="http://schemas.openxmlformats.org/officeDocument/2006/relationships/image" Target="media/ddb3be648ea86aa1131b07d32c911f6fefa8b12f.png"/><Relationship Id="rId18" Type="http://schemas.openxmlformats.org/officeDocument/2006/relationships/image" Target="media/a89e4b23088cb2e2bc52378020d9d3dcdc6d55d0.png"/><Relationship Id="rId19" Type="http://schemas.openxmlformats.org/officeDocument/2006/relationships/image" Target="media/0a5c663334f0b01609b607bd8ad81c1217f8185a.png"/><Relationship Id="rId20" Type="http://schemas.openxmlformats.org/officeDocument/2006/relationships/image" Target="media/7158b555360675f04fdc1690b2d10f0ee06df2d9.png"/><Relationship Id="rId21" Type="http://schemas.openxmlformats.org/officeDocument/2006/relationships/image" Target="media/c69be083625f4b689deb6346805d5e3538514be7.png"/><Relationship Id="rId22" Type="http://schemas.openxmlformats.org/officeDocument/2006/relationships/image" Target="media/4f3991243750bd4fe55296e3826c15ca88af9244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WheatQTLdb V3.0 user guide</dc:title>
  <dc:creator>WheatQTLdb</dc:creator>
  <dc:description>Annotated guide to the WheatQTLdb V3.0 website</dc:description>
  <cp:lastModifiedBy>Un-named</cp:lastModifiedBy>
  <cp:revision>1</cp:revision>
  <dcterms:created xsi:type="dcterms:W3CDTF">2026-10-13T22:19:30.283Z</dcterms:created>
  <dcterms:modified xsi:type="dcterms:W3CDTF">2026-10-13T22:19:30.283Z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