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Display" w:hAnsi="Aptos Display"/>
          <w:b/>
          <w:color w:val="265997"/>
          <w:sz w:val="48"/>
        </w:rPr>
        <w:t>ScalePII — Evaluation Report</w:t>
      </w:r>
    </w:p>
    <w:p>
      <w:r>
        <w:t>This report records current-code results reproduced from preserved assignment inputs. The submission archive intentionally omits raw prospectus and annotation files; the assignment recipient already has the former, and neither is required to inspect the deliverable. I report the scores as evidence on these saved annotations, not as a blind real-world generalisation estimate.</w:t>
      </w:r>
    </w:p>
    <w:p>
      <w:pPr>
        <w:pStyle w:val="Heading1"/>
      </w:pPr>
      <w:r>
        <w:t>Method</w:t>
      </w:r>
    </w:p>
    <w:p>
      <w:r>
        <w:t>I evaluated the current detector against three saved annotation sets. The sets are disjoint and are sampled by document position rather than detector output. That avoids the circular mistake of evaluating only where the tool already fired. Their saved sample files, labels and build commands reproduce exactly:</w:t>
      </w:r>
    </w:p>
    <w:tbl>
      <w:tblPr>
        <w:tblStyle w:val="LightShading-Accent1"/>
        <w:tblW w:type="auto" w:w="0"/>
        <w:tblLayout w:type="autofit"/>
        <w:tblLook w:firstColumn="1" w:firstRow="1" w:lastColumn="0" w:lastRow="0" w:noHBand="0" w:noVBand="1" w:val="04A0"/>
      </w:tblPr>
      <w:tblGrid>
        <w:gridCol w:w="2045"/>
        <w:gridCol w:w="2045"/>
        <w:gridCol w:w="2045"/>
        <w:gridCol w:w="2045"/>
        <w:gridCol w:w="2045"/>
      </w:tblGrid>
      <w:tr>
        <w:tc>
          <w:tcPr>
            <w:tcW w:type="dxa" w:w="2045"/>
            <w:shd w:fill="D9EAF7"/>
          </w:tcPr>
          <w:p>
            <w:pPr>
              <w:spacing w:after="0"/>
            </w:pPr>
            <w:r/>
            <w:r>
              <w:rPr>
                <w:b/>
                <w:sz w:val="17"/>
              </w:rPr>
              <w:t>Set</w:t>
            </w:r>
          </w:p>
        </w:tc>
        <w:tc>
          <w:tcPr>
            <w:tcW w:type="dxa" w:w="2045"/>
            <w:shd w:fill="D9EAF7"/>
          </w:tcPr>
          <w:p>
            <w:pPr>
              <w:spacing w:after="0"/>
            </w:pPr>
            <w:r/>
            <w:r>
              <w:rPr>
                <w:b/>
                <w:sz w:val="17"/>
              </w:rPr>
              <w:t>Blocks</w:t>
            </w:r>
          </w:p>
        </w:tc>
        <w:tc>
          <w:tcPr>
            <w:tcW w:type="dxa" w:w="2045"/>
            <w:shd w:fill="D9EAF7"/>
          </w:tcPr>
          <w:p>
            <w:pPr>
              <w:spacing w:after="0"/>
            </w:pPr>
            <w:r/>
            <w:r>
              <w:rPr>
                <w:b/>
                <w:sz w:val="17"/>
              </w:rPr>
              <w:t>Labelled entities</w:t>
            </w:r>
          </w:p>
        </w:tc>
        <w:tc>
          <w:tcPr>
            <w:tcW w:type="dxa" w:w="2045"/>
            <w:shd w:fill="D9EAF7"/>
          </w:tcPr>
          <w:p>
            <w:pPr>
              <w:spacing w:after="0"/>
            </w:pPr>
            <w:r/>
            <w:r>
              <w:rPr>
                <w:b/>
                <w:sz w:val="17"/>
              </w:rPr>
              <w:t>Sampling design</w:t>
            </w:r>
          </w:p>
        </w:tc>
        <w:tc>
          <w:tcPr>
            <w:tcW w:type="dxa" w:w="2045"/>
            <w:shd w:fill="D9EAF7"/>
          </w:tcPr>
          <w:p>
            <w:pPr>
              <w:spacing w:after="0"/>
            </w:pPr>
            <w:r/>
            <w:r>
              <w:rPr>
                <w:b/>
                <w:sz w:val="17"/>
              </w:rPr>
              <w:t>Seed</w:t>
            </w:r>
          </w:p>
        </w:tc>
      </w:tr>
      <w:tr>
        <w:tc>
          <w:tcPr>
            <w:tcW w:type="dxa" w:w="2045"/>
          </w:tcPr>
          <w:p>
            <w:pPr>
              <w:spacing w:after="0"/>
            </w:pPr>
            <w:r/>
            <w:r>
              <w:rPr>
                <w:b w:val="0"/>
                <w:sz w:val="17"/>
              </w:rPr>
              <w:t>Development v1</w:t>
            </w:r>
          </w:p>
        </w:tc>
        <w:tc>
          <w:tcPr>
            <w:tcW w:type="dxa" w:w="2045"/>
          </w:tcPr>
          <w:p>
            <w:pPr>
              <w:spacing w:after="0"/>
            </w:pPr>
            <w:r/>
            <w:r>
              <w:rPr>
                <w:b w:val="0"/>
                <w:sz w:val="17"/>
              </w:rPr>
              <w:t>130</w:t>
            </w:r>
          </w:p>
        </w:tc>
        <w:tc>
          <w:tcPr>
            <w:tcW w:type="dxa" w:w="2045"/>
          </w:tcPr>
          <w:p>
            <w:pPr>
              <w:spacing w:after="0"/>
            </w:pPr>
            <w:r/>
            <w:r>
              <w:rPr>
                <w:b w:val="0"/>
                <w:sz w:val="17"/>
              </w:rPr>
              <w:t>32</w:t>
            </w:r>
          </w:p>
        </w:tc>
        <w:tc>
          <w:tcPr>
            <w:tcW w:type="dxa" w:w="2045"/>
          </w:tcPr>
          <w:p>
            <w:pPr>
              <w:spacing w:after="0"/>
            </w:pPr>
            <w:r/>
            <w:r>
              <w:rPr>
                <w:b w:val="0"/>
                <w:sz w:val="17"/>
              </w:rPr>
              <w:t>45 front matter, 40 body, 45 governance</w:t>
            </w:r>
          </w:p>
        </w:tc>
        <w:tc>
          <w:tcPr>
            <w:tcW w:type="dxa" w:w="2045"/>
          </w:tcPr>
          <w:p>
            <w:pPr>
              <w:spacing w:after="0"/>
            </w:pPr>
            <w:r/>
            <w:r>
              <w:rPr>
                <w:b w:val="0"/>
                <w:sz w:val="17"/>
              </w:rPr>
              <w:t>42</w:t>
            </w:r>
          </w:p>
        </w:tc>
      </w:tr>
      <w:tr>
        <w:tc>
          <w:tcPr>
            <w:tcW w:type="dxa" w:w="2045"/>
          </w:tcPr>
          <w:p>
            <w:pPr>
              <w:spacing w:after="0"/>
            </w:pPr>
            <w:r/>
            <w:r>
              <w:rPr>
                <w:b w:val="0"/>
                <w:sz w:val="17"/>
              </w:rPr>
              <w:t>Secondary v1</w:t>
            </w:r>
          </w:p>
        </w:tc>
        <w:tc>
          <w:tcPr>
            <w:tcW w:type="dxa" w:w="2045"/>
          </w:tcPr>
          <w:p>
            <w:pPr>
              <w:spacing w:after="0"/>
            </w:pPr>
            <w:r/>
            <w:r>
              <w:rPr>
                <w:b w:val="0"/>
                <w:sz w:val="17"/>
              </w:rPr>
              <w:t>130</w:t>
            </w:r>
          </w:p>
        </w:tc>
        <w:tc>
          <w:tcPr>
            <w:tcW w:type="dxa" w:w="2045"/>
          </w:tcPr>
          <w:p>
            <w:pPr>
              <w:spacing w:after="0"/>
            </w:pPr>
            <w:r/>
            <w:r>
              <w:rPr>
                <w:b w:val="0"/>
                <w:sz w:val="17"/>
              </w:rPr>
              <w:t>34</w:t>
            </w:r>
          </w:p>
        </w:tc>
        <w:tc>
          <w:tcPr>
            <w:tcW w:type="dxa" w:w="2045"/>
          </w:tcPr>
          <w:p>
            <w:pPr>
              <w:spacing w:after="0"/>
            </w:pPr>
            <w:r/>
            <w:r>
              <w:rPr>
                <w:b w:val="0"/>
                <w:sz w:val="17"/>
              </w:rPr>
              <w:t>Same v1 strata; excludes development blocks</w:t>
            </w:r>
          </w:p>
        </w:tc>
        <w:tc>
          <w:tcPr>
            <w:tcW w:type="dxa" w:w="2045"/>
          </w:tcPr>
          <w:p>
            <w:pPr>
              <w:spacing w:after="0"/>
            </w:pPr>
            <w:r/>
            <w:r>
              <w:rPr>
                <w:b w:val="0"/>
                <w:sz w:val="17"/>
              </w:rPr>
              <w:t>7</w:t>
            </w:r>
          </w:p>
        </w:tc>
      </w:tr>
      <w:tr>
        <w:tc>
          <w:tcPr>
            <w:tcW w:type="dxa" w:w="2045"/>
          </w:tcPr>
          <w:p>
            <w:pPr>
              <w:spacing w:after="0"/>
            </w:pPr>
            <w:r/>
            <w:r>
              <w:rPr>
                <w:b w:val="0"/>
                <w:sz w:val="17"/>
              </w:rPr>
              <w:t>Coverage v2</w:t>
            </w:r>
          </w:p>
        </w:tc>
        <w:tc>
          <w:tcPr>
            <w:tcW w:type="dxa" w:w="2045"/>
          </w:tcPr>
          <w:p>
            <w:pPr>
              <w:spacing w:after="0"/>
            </w:pPr>
            <w:r/>
            <w:r>
              <w:rPr>
                <w:b w:val="0"/>
                <w:sz w:val="17"/>
              </w:rPr>
              <w:t>200</w:t>
            </w:r>
          </w:p>
        </w:tc>
        <w:tc>
          <w:tcPr>
            <w:tcW w:type="dxa" w:w="2045"/>
          </w:tcPr>
          <w:p>
            <w:pPr>
              <w:spacing w:after="0"/>
            </w:pPr>
            <w:r/>
            <w:r>
              <w:rPr>
                <w:b w:val="0"/>
                <w:sz w:val="17"/>
              </w:rPr>
              <w:t>31</w:t>
            </w:r>
          </w:p>
        </w:tc>
        <w:tc>
          <w:tcPr>
            <w:tcW w:type="dxa" w:w="2045"/>
          </w:tcPr>
          <w:p>
            <w:pPr>
              <w:spacing w:after="0"/>
            </w:pPr>
            <w:r/>
            <w:r>
              <w:rPr>
                <w:b w:val="0"/>
                <w:sz w:val="17"/>
              </w:rPr>
              <w:t>25 front matter, 150 middle, 25 governance; excludes both v1 sets</w:t>
            </w:r>
          </w:p>
        </w:tc>
        <w:tc>
          <w:tcPr>
            <w:tcW w:type="dxa" w:w="2045"/>
          </w:tcPr>
          <w:p>
            <w:pPr>
              <w:spacing w:after="0"/>
            </w:pPr>
            <w:r/>
            <w:r>
              <w:rPr>
                <w:b w:val="0"/>
                <w:sz w:val="17"/>
              </w:rPr>
              <w:t>2024</w:t>
            </w:r>
          </w:p>
        </w:tc>
      </w:tr>
    </w:tbl>
    <w:p>
      <w:pPr>
        <w:spacing w:after="40"/>
      </w:pPr>
    </w:p>
    <w:p>
      <w:r>
        <w:t xml:space="preserve">The working annotation tables live in </w:t>
      </w:r>
      <w:r>
        <w:rPr>
          <w:rFonts w:ascii="Courier New" w:hAnsi="Courier New"/>
          <w:sz w:val="17"/>
        </w:rPr>
        <w:t>gold/*_annotations.py</w:t>
      </w:r>
      <w:r>
        <w:t xml:space="preserve">; </w:t>
      </w:r>
      <w:r>
        <w:rPr>
          <w:rFonts w:ascii="Courier New" w:hAnsi="Courier New"/>
          <w:sz w:val="17"/>
        </w:rPr>
        <w:t>build_gold.py</w:t>
      </w:r>
      <w:r>
        <w:t xml:space="preserve"> resolves their surface strings to offsets mechanically. I verified that every label appears in the sampled source block and that the saved gold JSONL files rebuild byte-for-byte. The datasets do </w:t>
      </w:r>
      <w:r>
        <w:rPr>
          <w:b/>
        </w:rPr>
        <w:t>not</w:t>
      </w:r>
      <w:r>
        <w:t xml:space="preserve"> provide inter-annotator agreement, so the scores are best read as a reproducible engineering evaluation rather than independent benchmark evidence.</w:t>
      </w:r>
    </w:p>
    <w:p>
      <w:r>
        <w:t>The evaluator uses greedy, one-to-one matching of type-compatible spans.</w:t>
      </w:r>
    </w:p>
    <w:tbl>
      <w:tblPr>
        <w:tblStyle w:val="LightShading-Accent1"/>
        <w:tblW w:type="auto" w:w="0"/>
        <w:tblLayout w:type="autofit"/>
        <w:tblLook w:firstColumn="1" w:firstRow="1" w:lastColumn="0" w:lastRow="0" w:noHBand="0" w:noVBand="1" w:val="04A0"/>
      </w:tblPr>
      <w:tblGrid>
        <w:gridCol w:w="3408"/>
        <w:gridCol w:w="3408"/>
        <w:gridCol w:w="3408"/>
      </w:tblGrid>
      <w:tr>
        <w:tc>
          <w:tcPr>
            <w:tcW w:type="dxa" w:w="3408"/>
            <w:shd w:fill="D9EAF7"/>
          </w:tcPr>
          <w:p>
            <w:pPr>
              <w:spacing w:after="0"/>
            </w:pPr>
            <w:r/>
            <w:r>
              <w:rPr>
                <w:b/>
                <w:sz w:val="17"/>
              </w:rPr>
              <w:t>Metric</w:t>
            </w:r>
          </w:p>
        </w:tc>
        <w:tc>
          <w:tcPr>
            <w:tcW w:type="dxa" w:w="3408"/>
            <w:shd w:fill="D9EAF7"/>
          </w:tcPr>
          <w:p>
            <w:pPr>
              <w:spacing w:after="0"/>
            </w:pPr>
            <w:r/>
            <w:r>
              <w:rPr>
                <w:b/>
                <w:sz w:val="17"/>
              </w:rPr>
              <w:t>Rule</w:t>
            </w:r>
          </w:p>
        </w:tc>
        <w:tc>
          <w:tcPr>
            <w:tcW w:type="dxa" w:w="3408"/>
            <w:shd w:fill="D9EAF7"/>
          </w:tcPr>
          <w:p>
            <w:pPr>
              <w:spacing w:after="0"/>
            </w:pPr>
            <w:r/>
            <w:r>
              <w:rPr>
                <w:b/>
                <w:sz w:val="17"/>
              </w:rPr>
              <w:t>Meaning</w:t>
            </w:r>
          </w:p>
        </w:tc>
      </w:tr>
      <w:tr>
        <w:tc>
          <w:tcPr>
            <w:tcW w:type="dxa" w:w="3408"/>
          </w:tcPr>
          <w:p>
            <w:pPr>
              <w:spacing w:after="0"/>
            </w:pPr>
            <w:r/>
            <w:r>
              <w:rPr>
                <w:b w:val="0"/>
                <w:sz w:val="17"/>
              </w:rPr>
              <w:t>Strict span precision/recall/F1</w:t>
            </w:r>
          </w:p>
        </w:tc>
        <w:tc>
          <w:tcPr>
            <w:tcW w:type="dxa" w:w="3408"/>
          </w:tcPr>
          <w:p>
            <w:pPr>
              <w:spacing w:after="0"/>
            </w:pPr>
            <w:r/>
            <w:r>
              <w:rPr>
                <w:b w:val="0"/>
                <w:sz w:val="17"/>
              </w:rPr>
              <w:t>Exact start, end and type</w:t>
            </w:r>
          </w:p>
        </w:tc>
        <w:tc>
          <w:tcPr>
            <w:tcW w:type="dxa" w:w="3408"/>
          </w:tcPr>
          <w:p>
            <w:pPr>
              <w:spacing w:after="0"/>
            </w:pPr>
            <w:r/>
            <w:r>
              <w:rPr>
                <w:b w:val="0"/>
                <w:sz w:val="17"/>
              </w:rPr>
              <w:t>Measures boundary quality as well as detection.</w:t>
            </w:r>
          </w:p>
        </w:tc>
      </w:tr>
      <w:tr>
        <w:tc>
          <w:tcPr>
            <w:tcW w:type="dxa" w:w="3408"/>
          </w:tcPr>
          <w:p>
            <w:pPr>
              <w:spacing w:after="0"/>
            </w:pPr>
            <w:r/>
            <w:r>
              <w:rPr>
                <w:b w:val="0"/>
                <w:sz w:val="17"/>
              </w:rPr>
              <w:t>Relaxed span precision/recall/F1</w:t>
            </w:r>
          </w:p>
        </w:tc>
        <w:tc>
          <w:tcPr>
            <w:tcW w:type="dxa" w:w="3408"/>
          </w:tcPr>
          <w:p>
            <w:pPr>
              <w:spacing w:after="0"/>
            </w:pPr>
            <w:r/>
            <w:r>
              <w:rPr>
                <w:b w:val="0"/>
                <w:sz w:val="17"/>
              </w:rPr>
              <w:t>Any overlap with the same type</w:t>
            </w:r>
          </w:p>
        </w:tc>
        <w:tc>
          <w:tcPr>
            <w:tcW w:type="dxa" w:w="3408"/>
          </w:tcPr>
          <w:p>
            <w:pPr>
              <w:spacing w:after="0"/>
            </w:pPr>
            <w:r/>
            <w:r>
              <w:rPr>
                <w:b w:val="0"/>
                <w:sz w:val="17"/>
              </w:rPr>
              <w:t>Measures redaction coverage when a conservative span replaces a superset of the value.</w:t>
            </w:r>
          </w:p>
        </w:tc>
      </w:tr>
      <w:tr>
        <w:tc>
          <w:tcPr>
            <w:tcW w:type="dxa" w:w="3408"/>
          </w:tcPr>
          <w:p>
            <w:pPr>
              <w:spacing w:after="0"/>
            </w:pPr>
            <w:r/>
            <w:r>
              <w:rPr>
                <w:b w:val="0"/>
                <w:sz w:val="17"/>
              </w:rPr>
              <w:t>Character accuracy</w:t>
            </w:r>
          </w:p>
        </w:tc>
        <w:tc>
          <w:tcPr>
            <w:tcW w:type="dxa" w:w="3408"/>
          </w:tcPr>
          <w:p>
            <w:pPr>
              <w:spacing w:after="0"/>
            </w:pPr>
            <w:r/>
            <w:r>
              <w:rPr>
                <w:b w:val="0"/>
                <w:sz w:val="17"/>
              </w:rPr>
              <w:t>Per-character PII / non-PII classification</w:t>
            </w:r>
          </w:p>
        </w:tc>
        <w:tc>
          <w:tcPr>
            <w:tcW w:type="dxa" w:w="3408"/>
          </w:tcPr>
          <w:p>
            <w:pPr>
              <w:spacing w:after="0"/>
            </w:pPr>
            <w:r/>
            <w:r>
              <w:rPr>
                <w:b w:val="0"/>
                <w:sz w:val="17"/>
              </w:rPr>
              <w:t>Supplies the requested accuracy; it is dominated by non-PII characters and must not be read alone.</w:t>
            </w:r>
          </w:p>
        </w:tc>
      </w:tr>
    </w:tbl>
    <w:p>
      <w:pPr>
        <w:spacing w:after="40"/>
      </w:pPr>
    </w:p>
    <w:p>
      <w:r>
        <w:t xml:space="preserve">The span metrics cover the document text layer. Hidden Word hyperlink fields and embedded images are validated separately in </w:t>
      </w:r>
      <w:r>
        <w:rPr>
          <w:rFonts w:ascii="Courier New" w:hAnsi="Courier New"/>
          <w:sz w:val="17"/>
        </w:rPr>
        <w:t>verify_delivery.py</w:t>
      </w:r>
      <w:r>
        <w:t>.</w:t>
      </w:r>
    </w:p>
    <w:p>
      <w:pPr>
        <w:pStyle w:val="Heading1"/>
      </w:pPr>
      <w:r>
        <w:t>Reproducing the samples and scores</w:t>
      </w:r>
    </w:p>
    <w:p>
      <w:r>
        <w:t>The following commands are retained for the assignment recipient, who already has the supplied prospectus and evaluation inputs. I exclude those raw-PII inputs from the submission archive; the archive includes the current reports and methodology instead.</w:t>
      </w:r>
    </w:p>
    <w:p>
      <w:pPr>
        <w:pStyle w:val="NoSpacing"/>
        <w:spacing w:before="60" w:after="160"/>
      </w:pPr>
      <w:r>
        <w:rPr>
          <w:rFonts w:ascii="Courier New" w:hAnsi="Courier New"/>
          <w:color w:val="424B58"/>
          <w:sz w:val="15"/>
        </w:rPr>
        <w:t>python build_gold_sample.py --seed 42 --design v1 --out /tmp/dev.jsonl</w:t>
        <w:br/>
      </w:r>
      <w:r>
        <w:rPr>
          <w:rFonts w:ascii="Courier New" w:hAnsi="Courier New"/>
          <w:color w:val="424B58"/>
          <w:sz w:val="15"/>
        </w:rPr>
        <w:t>python build_gold_sample.py --seed 7 --design v1 \</w:t>
        <w:br/>
      </w:r>
      <w:r>
        <w:rPr>
          <w:rFonts w:ascii="Courier New" w:hAnsi="Courier New"/>
          <w:color w:val="424B58"/>
          <w:sz w:val="15"/>
        </w:rPr>
        <w:t xml:space="preserve">  --exclude gold/sample_to_label.jsonl --out /tmp/secondary.jsonl</w:t>
        <w:br/>
      </w:r>
      <w:r>
        <w:rPr>
          <w:rFonts w:ascii="Courier New" w:hAnsi="Courier New"/>
          <w:color w:val="424B58"/>
          <w:sz w:val="15"/>
        </w:rPr>
        <w:t>python build_gold_sample.py --seed 2024 --design v2 \</w:t>
        <w:br/>
      </w:r>
      <w:r>
        <w:rPr>
          <w:rFonts w:ascii="Courier New" w:hAnsi="Courier New"/>
          <w:color w:val="424B58"/>
          <w:sz w:val="15"/>
        </w:rPr>
        <w:t xml:space="preserve">  --exclude gold/sample_to_label.jsonl,gold/heldout_to_label.jsonl \</w:t>
        <w:br/>
      </w:r>
      <w:r>
        <w:rPr>
          <w:rFonts w:ascii="Courier New" w:hAnsi="Courier New"/>
          <w:color w:val="424B58"/>
          <w:sz w:val="15"/>
        </w:rPr>
        <w:t xml:space="preserve">  --out /tmp/coverage.jsonl</w:t>
        <w:br/>
      </w:r>
      <w:r>
        <w:rPr>
          <w:rFonts w:ascii="Courier New" w:hAnsi="Courier New"/>
          <w:color w:val="424B58"/>
          <w:sz w:val="15"/>
        </w:rPr>
        <w:br/>
      </w:r>
      <w:r>
        <w:rPr>
          <w:rFonts w:ascii="Courier New" w:hAnsi="Courier New"/>
          <w:color w:val="424B58"/>
          <w:sz w:val="15"/>
        </w:rPr>
        <w:t>python build_gold.py --sample gold/sample_to_label.jsonl \</w:t>
        <w:br/>
      </w:r>
      <w:r>
        <w:rPr>
          <w:rFonts w:ascii="Courier New" w:hAnsi="Courier New"/>
          <w:color w:val="424B58"/>
          <w:sz w:val="15"/>
        </w:rPr>
        <w:t xml:space="preserve">  --annotations gold.annotations --out /tmp/dev-gold.jsonl</w:t>
        <w:br/>
      </w:r>
      <w:r>
        <w:rPr>
          <w:rFonts w:ascii="Courier New" w:hAnsi="Courier New"/>
          <w:color w:val="424B58"/>
          <w:sz w:val="15"/>
        </w:rPr>
        <w:t>python evaluate.py --gold gold/gold_standard.jsonl \</w:t>
        <w:br/>
      </w:r>
      <w:r>
        <w:rPr>
          <w:rFonts w:ascii="Courier New" w:hAnsi="Courier New"/>
          <w:color w:val="424B58"/>
          <w:sz w:val="15"/>
        </w:rPr>
        <w:t xml:space="preserve">  --out reports/evaluation.json --label development-current</w:t>
        <w:br/>
      </w:r>
      <w:r>
        <w:rPr>
          <w:rFonts w:ascii="Courier New" w:hAnsi="Courier New"/>
          <w:color w:val="424B58"/>
          <w:sz w:val="15"/>
        </w:rPr>
        <w:t>python evaluate.py --gold gold/heldout_standard.jsonl \</w:t>
        <w:br/>
      </w:r>
      <w:r>
        <w:rPr>
          <w:rFonts w:ascii="Courier New" w:hAnsi="Courier New"/>
          <w:color w:val="424B58"/>
          <w:sz w:val="15"/>
        </w:rPr>
        <w:t xml:space="preserve">  --out reports/evaluation_heldout.json --label secondary-current</w:t>
        <w:br/>
      </w:r>
      <w:r>
        <w:rPr>
          <w:rFonts w:ascii="Courier New" w:hAnsi="Courier New"/>
          <w:color w:val="424B58"/>
          <w:sz w:val="15"/>
        </w:rPr>
        <w:t>python evaluate.py --gold gold/coverage_standard.jsonl \</w:t>
        <w:br/>
      </w:r>
      <w:r>
        <w:rPr>
          <w:rFonts w:ascii="Courier New" w:hAnsi="Courier New"/>
          <w:color w:val="424B58"/>
          <w:sz w:val="15"/>
        </w:rPr>
        <w:t xml:space="preserve">  --out reports/evaluation_coverage.json --label coverage-current</w:t>
      </w:r>
    </w:p>
    <w:p>
      <w:pPr>
        <w:pStyle w:val="Heading1"/>
      </w:pPr>
      <w:r>
        <w:t>Current results</w:t>
      </w:r>
    </w:p>
    <w:tbl>
      <w:tblPr>
        <w:tblStyle w:val="LightShading-Accent1"/>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shd w:fill="D9EAF7"/>
          </w:tcPr>
          <w:p>
            <w:pPr>
              <w:spacing w:after="0"/>
            </w:pPr>
            <w:r/>
            <w:r>
              <w:rPr>
                <w:b/>
                <w:sz w:val="17"/>
              </w:rPr>
              <w:t>Set</w:t>
            </w:r>
          </w:p>
        </w:tc>
        <w:tc>
          <w:tcPr>
            <w:tcW w:type="dxa" w:w="1704"/>
            <w:shd w:fill="D9EAF7"/>
          </w:tcPr>
          <w:p>
            <w:pPr>
              <w:spacing w:after="0"/>
            </w:pPr>
            <w:r/>
            <w:r>
              <w:rPr>
                <w:b/>
                <w:sz w:val="17"/>
              </w:rPr>
              <w:t>Relaxed precision</w:t>
            </w:r>
          </w:p>
        </w:tc>
        <w:tc>
          <w:tcPr>
            <w:tcW w:type="dxa" w:w="1704"/>
            <w:shd w:fill="D9EAF7"/>
          </w:tcPr>
          <w:p>
            <w:pPr>
              <w:spacing w:after="0"/>
            </w:pPr>
            <w:r/>
            <w:r>
              <w:rPr>
                <w:b/>
                <w:sz w:val="17"/>
              </w:rPr>
              <w:t>Relaxed recall</w:t>
            </w:r>
          </w:p>
        </w:tc>
        <w:tc>
          <w:tcPr>
            <w:tcW w:type="dxa" w:w="1704"/>
            <w:shd w:fill="D9EAF7"/>
          </w:tcPr>
          <w:p>
            <w:pPr>
              <w:spacing w:after="0"/>
            </w:pPr>
            <w:r/>
            <w:r>
              <w:rPr>
                <w:b/>
                <w:sz w:val="17"/>
              </w:rPr>
              <w:t>Relaxed F1</w:t>
            </w:r>
          </w:p>
        </w:tc>
        <w:tc>
          <w:tcPr>
            <w:tcW w:type="dxa" w:w="1704"/>
            <w:shd w:fill="D9EAF7"/>
          </w:tcPr>
          <w:p>
            <w:pPr>
              <w:spacing w:after="0"/>
            </w:pPr>
            <w:r/>
            <w:r>
              <w:rPr>
                <w:b/>
                <w:sz w:val="17"/>
              </w:rPr>
              <w:t>Strict F1</w:t>
            </w:r>
          </w:p>
        </w:tc>
        <w:tc>
          <w:tcPr>
            <w:tcW w:type="dxa" w:w="1704"/>
            <w:shd w:fill="D9EAF7"/>
          </w:tcPr>
          <w:p>
            <w:pPr>
              <w:spacing w:after="0"/>
            </w:pPr>
            <w:r/>
            <w:r>
              <w:rPr>
                <w:b/>
                <w:sz w:val="17"/>
              </w:rPr>
              <w:t>Character accuracy</w:t>
            </w:r>
          </w:p>
        </w:tc>
      </w:tr>
      <w:tr>
        <w:tc>
          <w:tcPr>
            <w:tcW w:type="dxa" w:w="1704"/>
          </w:tcPr>
          <w:p>
            <w:pPr>
              <w:spacing w:after="0"/>
            </w:pPr>
            <w:r/>
            <w:r>
              <w:rPr>
                <w:b w:val="0"/>
                <w:sz w:val="17"/>
              </w:rPr>
              <w:t>Development v1</w:t>
            </w:r>
          </w:p>
        </w:tc>
        <w:tc>
          <w:tcPr>
            <w:tcW w:type="dxa" w:w="1704"/>
          </w:tcPr>
          <w:p>
            <w:pPr>
              <w:spacing w:after="0"/>
            </w:pPr>
            <w:r/>
            <w:r>
              <w:rPr>
                <w:b w:val="0"/>
                <w:sz w:val="17"/>
              </w:rPr>
              <w:t>1.000</w:t>
            </w:r>
          </w:p>
        </w:tc>
        <w:tc>
          <w:tcPr>
            <w:tcW w:type="dxa" w:w="1704"/>
          </w:tcPr>
          <w:p>
            <w:pPr>
              <w:spacing w:after="0"/>
            </w:pPr>
            <w:r/>
            <w:r>
              <w:rPr>
                <w:b w:val="0"/>
                <w:sz w:val="17"/>
              </w:rPr>
              <w:t>1.000</w:t>
            </w:r>
          </w:p>
        </w:tc>
        <w:tc>
          <w:tcPr>
            <w:tcW w:type="dxa" w:w="1704"/>
          </w:tcPr>
          <w:p>
            <w:pPr>
              <w:spacing w:after="0"/>
            </w:pPr>
            <w:r/>
            <w:r>
              <w:rPr>
                <w:b w:val="0"/>
                <w:sz w:val="17"/>
              </w:rPr>
              <w:t>1.000</w:t>
            </w:r>
          </w:p>
        </w:tc>
        <w:tc>
          <w:tcPr>
            <w:tcW w:type="dxa" w:w="1704"/>
          </w:tcPr>
          <w:p>
            <w:pPr>
              <w:spacing w:after="0"/>
            </w:pPr>
            <w:r/>
            <w:r>
              <w:rPr>
                <w:b w:val="0"/>
                <w:sz w:val="17"/>
              </w:rPr>
              <w:t>0.969</w:t>
            </w:r>
          </w:p>
        </w:tc>
        <w:tc>
          <w:tcPr>
            <w:tcW w:type="dxa" w:w="1704"/>
          </w:tcPr>
          <w:p>
            <w:pPr>
              <w:spacing w:after="0"/>
            </w:pPr>
            <w:r/>
            <w:r>
              <w:rPr>
                <w:b w:val="0"/>
                <w:sz w:val="17"/>
              </w:rPr>
              <w:t>0.9973</w:t>
            </w:r>
          </w:p>
        </w:tc>
      </w:tr>
      <w:tr>
        <w:tc>
          <w:tcPr>
            <w:tcW w:type="dxa" w:w="1704"/>
          </w:tcPr>
          <w:p>
            <w:pPr>
              <w:spacing w:after="0"/>
            </w:pPr>
            <w:r/>
            <w:r>
              <w:rPr>
                <w:b w:val="0"/>
                <w:sz w:val="17"/>
              </w:rPr>
              <w:t>Secondary v1</w:t>
            </w:r>
          </w:p>
        </w:tc>
        <w:tc>
          <w:tcPr>
            <w:tcW w:type="dxa" w:w="1704"/>
          </w:tcPr>
          <w:p>
            <w:pPr>
              <w:spacing w:after="0"/>
            </w:pPr>
            <w:r/>
            <w:r>
              <w:rPr>
                <w:b w:val="0"/>
                <w:sz w:val="17"/>
              </w:rPr>
              <w:t>0.971</w:t>
            </w:r>
          </w:p>
        </w:tc>
        <w:tc>
          <w:tcPr>
            <w:tcW w:type="dxa" w:w="1704"/>
          </w:tcPr>
          <w:p>
            <w:pPr>
              <w:spacing w:after="0"/>
            </w:pPr>
            <w:r/>
            <w:r>
              <w:rPr>
                <w:b w:val="0"/>
                <w:sz w:val="17"/>
              </w:rPr>
              <w:t>1.000</w:t>
            </w:r>
          </w:p>
        </w:tc>
        <w:tc>
          <w:tcPr>
            <w:tcW w:type="dxa" w:w="1704"/>
          </w:tcPr>
          <w:p>
            <w:pPr>
              <w:spacing w:after="0"/>
            </w:pPr>
            <w:r/>
            <w:r>
              <w:rPr>
                <w:b w:val="0"/>
                <w:sz w:val="17"/>
              </w:rPr>
              <w:t>0.986</w:t>
            </w:r>
          </w:p>
        </w:tc>
        <w:tc>
          <w:tcPr>
            <w:tcW w:type="dxa" w:w="1704"/>
          </w:tcPr>
          <w:p>
            <w:pPr>
              <w:spacing w:after="0"/>
            </w:pPr>
            <w:r/>
            <w:r>
              <w:rPr>
                <w:b w:val="0"/>
                <w:sz w:val="17"/>
              </w:rPr>
              <w:t>0.927</w:t>
            </w:r>
          </w:p>
        </w:tc>
        <w:tc>
          <w:tcPr>
            <w:tcW w:type="dxa" w:w="1704"/>
          </w:tcPr>
          <w:p>
            <w:pPr>
              <w:spacing w:after="0"/>
            </w:pPr>
            <w:r/>
            <w:r>
              <w:rPr>
                <w:b w:val="0"/>
                <w:sz w:val="17"/>
              </w:rPr>
              <w:t>0.9944</w:t>
            </w:r>
          </w:p>
        </w:tc>
      </w:tr>
      <w:tr>
        <w:tc>
          <w:tcPr>
            <w:tcW w:type="dxa" w:w="1704"/>
          </w:tcPr>
          <w:p>
            <w:pPr>
              <w:spacing w:after="0"/>
            </w:pPr>
            <w:r/>
            <w:r>
              <w:rPr>
                <w:b w:val="0"/>
                <w:sz w:val="17"/>
              </w:rPr>
              <w:t>Coverage v2</w:t>
            </w:r>
          </w:p>
        </w:tc>
        <w:tc>
          <w:tcPr>
            <w:tcW w:type="dxa" w:w="1704"/>
          </w:tcPr>
          <w:p>
            <w:pPr>
              <w:spacing w:after="0"/>
            </w:pPr>
            <w:r/>
            <w:r>
              <w:rPr>
                <w:b w:val="0"/>
                <w:sz w:val="17"/>
              </w:rPr>
              <w:t>1.000</w:t>
            </w:r>
          </w:p>
        </w:tc>
        <w:tc>
          <w:tcPr>
            <w:tcW w:type="dxa" w:w="1704"/>
          </w:tcPr>
          <w:p>
            <w:pPr>
              <w:spacing w:after="0"/>
            </w:pPr>
            <w:r/>
            <w:r>
              <w:rPr>
                <w:b w:val="0"/>
                <w:sz w:val="17"/>
              </w:rPr>
              <w:t>1.000</w:t>
            </w:r>
          </w:p>
        </w:tc>
        <w:tc>
          <w:tcPr>
            <w:tcW w:type="dxa" w:w="1704"/>
          </w:tcPr>
          <w:p>
            <w:pPr>
              <w:spacing w:after="0"/>
            </w:pPr>
            <w:r/>
            <w:r>
              <w:rPr>
                <w:b w:val="0"/>
                <w:sz w:val="17"/>
              </w:rPr>
              <w:t>1.000</w:t>
            </w:r>
          </w:p>
        </w:tc>
        <w:tc>
          <w:tcPr>
            <w:tcW w:type="dxa" w:w="1704"/>
          </w:tcPr>
          <w:p>
            <w:pPr>
              <w:spacing w:after="0"/>
            </w:pPr>
            <w:r/>
            <w:r>
              <w:rPr>
                <w:b w:val="0"/>
                <w:sz w:val="17"/>
              </w:rPr>
              <w:t>0.935</w:t>
            </w:r>
          </w:p>
        </w:tc>
        <w:tc>
          <w:tcPr>
            <w:tcW w:type="dxa" w:w="1704"/>
          </w:tcPr>
          <w:p>
            <w:pPr>
              <w:spacing w:after="0"/>
            </w:pPr>
            <w:r/>
            <w:r>
              <w:rPr>
                <w:b w:val="0"/>
                <w:sz w:val="17"/>
              </w:rPr>
              <w:t>0.9987</w:t>
            </w:r>
          </w:p>
        </w:tc>
      </w:tr>
    </w:tbl>
    <w:p>
      <w:pPr>
        <w:spacing w:after="40"/>
      </w:pPr>
    </w:p>
    <w:p>
      <w:r>
        <w:t xml:space="preserve">For the secondary v1 sample—the most useful separate sample in this package— the relaxed confusion counts are 34 true positives, 1 false positive and 0 false negatives. The lone extra ORG span is preserved in </w:t>
      </w:r>
      <w:r>
        <w:rPr>
          <w:rFonts w:ascii="Courier New" w:hAnsi="Courier New"/>
          <w:sz w:val="17"/>
        </w:rPr>
        <w:t>reports/evaluation_heldout.json</w:t>
      </w:r>
      <w:r>
        <w:t xml:space="preserve"> as a hash-only audit reference. Strict F1 is lower because it counts boundary differences: 32 exact matches, 3 extra spans and 2 boundary misses. This distinction is intentional: an over-inclusive address replacement may be safe for redaction but is still an imprecise span.</w:t>
      </w:r>
    </w:p>
    <w:p>
      <w:r>
        <w:t>The single relaxed extra span is a named-company landmark inside an address. I labelled that landmark out of scope in this annotation set, while the detector redacts it. Because the assignment explicitly lists company names, a reviewer may reasonably prefer the detector's more conservative behaviour; I keep the annotation and its precision cost rather than changing a label to improve the score.</w:t>
      </w:r>
    </w:p>
    <w:p>
      <w:pPr>
        <w:pStyle w:val="Heading1"/>
      </w:pPr>
      <w:r>
        <w:t>Whole-document run and verification</w:t>
      </w:r>
    </w:p>
    <w:p>
      <w:r>
        <w:t>The current run has the following mechanically verified results:</w:t>
      </w:r>
    </w:p>
    <w:tbl>
      <w:tblPr>
        <w:tblStyle w:val="LightShading-Accent1"/>
        <w:tblW w:type="auto" w:w="0"/>
        <w:tblLayout w:type="autofit"/>
        <w:tblLook w:firstColumn="1" w:firstRow="1" w:lastColumn="0" w:lastRow="0" w:noHBand="0" w:noVBand="1" w:val="04A0"/>
      </w:tblPr>
      <w:tblGrid>
        <w:gridCol w:w="5112"/>
        <w:gridCol w:w="5112"/>
      </w:tblGrid>
      <w:tr>
        <w:tc>
          <w:tcPr>
            <w:tcW w:type="dxa" w:w="5112"/>
            <w:shd w:fill="D9EAF7"/>
          </w:tcPr>
          <w:p>
            <w:pPr>
              <w:spacing w:after="0"/>
            </w:pPr>
            <w:r/>
            <w:r>
              <w:rPr>
                <w:b/>
                <w:sz w:val="17"/>
              </w:rPr>
              <w:t>Check</w:t>
            </w:r>
          </w:p>
        </w:tc>
        <w:tc>
          <w:tcPr>
            <w:tcW w:type="dxa" w:w="5112"/>
            <w:shd w:fill="D9EAF7"/>
          </w:tcPr>
          <w:p>
            <w:pPr>
              <w:spacing w:after="0"/>
            </w:pPr>
            <w:r/>
            <w:r>
              <w:rPr>
                <w:b/>
                <w:sz w:val="17"/>
              </w:rPr>
              <w:t>Result</w:t>
            </w:r>
          </w:p>
        </w:tc>
      </w:tr>
      <w:tr>
        <w:tc>
          <w:tcPr>
            <w:tcW w:type="dxa" w:w="5112"/>
          </w:tcPr>
          <w:p>
            <w:pPr>
              <w:spacing w:after="0"/>
            </w:pPr>
            <w:r/>
            <w:r>
              <w:rPr>
                <w:b w:val="0"/>
                <w:sz w:val="17"/>
              </w:rPr>
              <w:t>Text blocks scanned</w:t>
            </w:r>
          </w:p>
        </w:tc>
        <w:tc>
          <w:tcPr>
            <w:tcW w:type="dxa" w:w="5112"/>
          </w:tcPr>
          <w:p>
            <w:pPr>
              <w:spacing w:after="0"/>
            </w:pPr>
            <w:r/>
            <w:r>
              <w:rPr>
                <w:b w:val="0"/>
                <w:sz w:val="17"/>
              </w:rPr>
              <w:t>4,181</w:t>
            </w:r>
          </w:p>
        </w:tc>
      </w:tr>
      <w:tr>
        <w:tc>
          <w:tcPr>
            <w:tcW w:type="dxa" w:w="5112"/>
          </w:tcPr>
          <w:p>
            <w:pPr>
              <w:spacing w:after="0"/>
            </w:pPr>
            <w:r/>
            <w:r>
              <w:rPr>
                <w:b w:val="0"/>
                <w:sz w:val="17"/>
              </w:rPr>
              <w:t>Visible-text replacements</w:t>
            </w:r>
          </w:p>
        </w:tc>
        <w:tc>
          <w:tcPr>
            <w:tcW w:type="dxa" w:w="5112"/>
          </w:tcPr>
          <w:p>
            <w:pPr>
              <w:spacing w:after="0"/>
            </w:pPr>
            <w:r/>
            <w:r>
              <w:rPr>
                <w:b w:val="0"/>
                <w:sz w:val="17"/>
              </w:rPr>
              <w:t>610</w:t>
            </w:r>
          </w:p>
        </w:tc>
      </w:tr>
      <w:tr>
        <w:tc>
          <w:tcPr>
            <w:tcW w:type="dxa" w:w="5112"/>
          </w:tcPr>
          <w:p>
            <w:pPr>
              <w:spacing w:after="0"/>
            </w:pPr>
            <w:r/>
            <w:r>
              <w:rPr>
                <w:b w:val="0"/>
                <w:sz w:val="17"/>
              </w:rPr>
              <w:t>Stable source-to-fake mappings</w:t>
            </w:r>
          </w:p>
        </w:tc>
        <w:tc>
          <w:tcPr>
            <w:tcW w:type="dxa" w:w="5112"/>
          </w:tcPr>
          <w:p>
            <w:pPr>
              <w:spacing w:after="0"/>
            </w:pPr>
            <w:r/>
            <w:r>
              <w:rPr>
                <w:b w:val="0"/>
                <w:sz w:val="17"/>
              </w:rPr>
              <w:t>258</w:t>
            </w:r>
          </w:p>
        </w:tc>
      </w:tr>
      <w:tr>
        <w:tc>
          <w:tcPr>
            <w:tcW w:type="dxa" w:w="5112"/>
          </w:tcPr>
          <w:p>
            <w:pPr>
              <w:spacing w:after="0"/>
            </w:pPr>
            <w:r/>
            <w:r>
              <w:rPr>
                <w:b w:val="0"/>
                <w:sz w:val="17"/>
              </w:rPr>
              <w:t>Hidden hyperlink field values redacted</w:t>
            </w:r>
          </w:p>
        </w:tc>
        <w:tc>
          <w:tcPr>
            <w:tcW w:type="dxa" w:w="5112"/>
          </w:tcPr>
          <w:p>
            <w:pPr>
              <w:spacing w:after="0"/>
            </w:pPr>
            <w:r/>
            <w:r>
              <w:rPr>
                <w:b w:val="0"/>
                <w:sz w:val="17"/>
              </w:rPr>
              <w:t>77</w:t>
            </w:r>
          </w:p>
        </w:tc>
      </w:tr>
      <w:tr>
        <w:tc>
          <w:tcPr>
            <w:tcW w:type="dxa" w:w="5112"/>
          </w:tcPr>
          <w:p>
            <w:pPr>
              <w:spacing w:after="0"/>
            </w:pPr>
            <w:r/>
            <w:r>
              <w:rPr>
                <w:b w:val="0"/>
                <w:sz w:val="17"/>
              </w:rPr>
              <w:t>Embedded image parts neutralised</w:t>
            </w:r>
          </w:p>
        </w:tc>
        <w:tc>
          <w:tcPr>
            <w:tcW w:type="dxa" w:w="5112"/>
          </w:tcPr>
          <w:p>
            <w:pPr>
              <w:spacing w:after="0"/>
            </w:pPr>
            <w:r/>
            <w:r>
              <w:rPr>
                <w:b w:val="0"/>
                <w:sz w:val="17"/>
              </w:rPr>
              <w:t>8</w:t>
            </w:r>
          </w:p>
        </w:tc>
      </w:tr>
      <w:tr>
        <w:tc>
          <w:tcPr>
            <w:tcW w:type="dxa" w:w="5112"/>
          </w:tcPr>
          <w:p>
            <w:pPr>
              <w:spacing w:after="0"/>
            </w:pPr>
            <w:r/>
            <w:r>
              <w:rPr>
                <w:b w:val="0"/>
                <w:sz w:val="17"/>
              </w:rPr>
              <w:t>Unit/integration tests</w:t>
            </w:r>
          </w:p>
        </w:tc>
        <w:tc>
          <w:tcPr>
            <w:tcW w:type="dxa" w:w="5112"/>
          </w:tcPr>
          <w:p>
            <w:pPr>
              <w:spacing w:after="0"/>
            </w:pPr>
            <w:r/>
            <w:r>
              <w:rPr>
                <w:b w:val="0"/>
                <w:sz w:val="17"/>
              </w:rPr>
              <w:t>40 passed</w:t>
            </w:r>
          </w:p>
        </w:tc>
      </w:tr>
    </w:tbl>
    <w:p>
      <w:pPr>
        <w:spacing w:after="40"/>
      </w:pPr>
    </w:p>
    <w:p>
      <w:r>
        <w:rPr>
          <w:rFonts w:ascii="Courier New" w:hAnsi="Courier New"/>
          <w:sz w:val="17"/>
        </w:rPr>
        <w:t>python verify_delivery.py</w:t>
      </w:r>
      <w:r>
        <w:t xml:space="preserve"> opens the final DOCX package and proves that it is valid; preserves 1,006 paragraphs, 76 tables, 85 sections, 4,181 text blocks and 4,193 bold runs; replaces all 8 embedded image payloads with neutral placeholders; and leaves no source value detected by the current pipeline in the serialized XML. It checks all 610 visible occurrences, 77 hidden field occurrences and 27 source email values without writing those values to its output. It also verifies that the generated audit artefacts use hashes rather than cleartext source values.</w:t>
      </w:r>
    </w:p>
    <w:p>
      <w:pPr>
        <w:pStyle w:val="Heading1"/>
      </w:pPr>
      <w:r>
        <w:t>Scope and limitations</w:t>
      </w:r>
    </w:p>
    <w:p>
      <w:r>
        <w:t>I redact people, company/legal-entity names, emails, phones, postal addresses, DINs and non-allowlisted websites in this prospectus. The text scan produced no SSN, credit-card, date-of-birth or IP-address matches; the implementation is covered by an end-to-end synthetic test for each assignment-required type. Regulators, statutes, exchanges and depositories are deliberately allowlisted; this is a documented policy choice, not a claim that every organisation is safe to retain. Every raster image is replaced rather than OCR-redacted, sacrificing image utility for a fail-closed privacy policy.</w:t>
      </w:r>
    </w:p>
    <w:p>
      <w:r>
        <w:t xml:space="preserve">No finite sample or automated scan proves that a document contains no missed PII. The reported recall numbers describe these saved annotations only. The verification script proves absence of *currently detected* source values from the final package; it does not establish recall for values the detector never identified. Historical </w:t>
      </w:r>
      <w:r>
        <w:rPr>
          <w:rFonts w:ascii="Courier New" w:hAnsi="Courier New"/>
          <w:sz w:val="17"/>
        </w:rPr>
        <w:t>*_blind.json</w:t>
      </w:r>
      <w:r>
        <w:t xml:space="preserve"> files are retained as legacy artefacts but are not used to support any claim in this report.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87484"/>
        <w:sz w:val="15"/>
      </w:rPr>
      <w:t>Privacy-safe report — no raw prospectus or annotation values included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87484"/>
        <w:sz w:val="16"/>
      </w:rPr>
      <w:t>ScalePII  |  Evaluation Strategy &amp; Metrics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424B5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265997"/>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2659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ScalePII — Evaluation Strategy &amp; Metrics</dc:title>
  <dc:subject>PII redaction evaluation report</dc:subject>
  <dc:creator>Ankan Ghosh</dc:creator>
  <cp:keywords/>
  <dc:description>generated by python-docx</dc:description>
  <cp:lastModifiedBy/>
  <cp:revision>1</cp:revision>
  <dcterms:created xsi:type="dcterms:W3CDTF">2013-12-23T23:15:00Z</dcterms:created>
  <dcterms:modified xsi:type="dcterms:W3CDTF">2013-12-23T23:15:00Z</dcterms:modified>
  <cp:category/>
</cp:coreProperties>
</file>