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Pr>
        <w:t>AI will change the world—the terms are up to us</w:t>
      </w:r>
      <w:r>
        <w:br/>
      </w:r>
      <w:r>
        <w:br/>
      </w:r>
      <w:r>
        <w:t>We are living in a watershed moment for AI: the European Parliament has just voted on the EU AI Act, which will regulate and govern the use and implications of this technology. In turn, governments and enterprises are getting ready to set their own standards around AI. AI featured in the G7 Ministerial Meeting in Verona, Italy, and in conversations happening in parallel in the Business Federations gatherings, or B7. I had the opportunity to bring IBM’s perspective to these industry discussions.</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2024-03-14T13:07:37Z</dcterms:created>
  <dcterms:modified xsi:type="dcterms:W3CDTF">2024-03-14T13:07:37Z</dcterms:modified>
</cp:coreProperties>
</file>