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identity and session isolation, discovery and routing, consent, identity-bound execution, state and idempotency,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and record a consent-gated invocation and its partner-side effect.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half to two-thirds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Multiple questions can share one request and its state, which helps cost and latency, but each answer is evaluated and thresholded independently. A review or no-match option is required where evidence can be missing, and ordinal scores are not compared across different rubrics [7].</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(J2, J3, J4), keeps a key-based result with a warning (J5), or surfaces a terminal failure (J6).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(§9.6), and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Throughput is out of scope here;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§9.6;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For requests no study partner advertises the path never recommended a study partner, in any run, but it did recommend a public-registry agent in all 40 and the underlying index returned at least one candidate for 36 of 40, so the deployed path does not abstain; it presents the best available agents and leaves acceptance to the user.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2000-token budget) answered a 280-item suite split into 141 training, 77 development, and 62 held-out items by stable task hash; at the endpoint's default effort about one reply in ten came back empty. Labels were built from a latent variable, re-read blind by the same model with only the text, question, and options, and adjudicated on the 99 disagreements or uncertain items (60 changed, 15 unresolved); the full set was then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10 to 16 of the 280 did and no typed reply did. Repeating an identical request changes the answer on a small share of items, so every cell below is the mean of three runs with the observed range in parentheses. Pairwise answer agreement between runs is 94.5% for typed answers and 90.5%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92.5% (91.9--93.5)</w:t>
            </w:r>
          </w:p>
        </w:tc>
        <w:tc>
          <w:tcPr>
            <w:tcW w:type="dxa" w:w="2448"/>
            <w:vAlign w:val="center"/>
          </w:tcPr>
          <w:p>
            <w:pPr>
              <w:spacing w:after="20" w:line="240" w:lineRule="auto"/>
            </w:pPr>
            <w:r>
              <w:rPr>
                <w:sz w:val="17"/>
                <w:rFonts w:eastAsia="SimSun"/>
              </w:rPr>
              <w:t>0.132 (0.116--0.146)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(79.0--90.3)</w:t>
            </w:r>
          </w:p>
        </w:tc>
        <w:tc>
          <w:tcPr>
            <w:tcW w:type="dxa" w:w="2448"/>
            <w:vAlign w:val="center"/>
          </w:tcPr>
          <w:p>
            <w:pPr>
              <w:spacing w:after="20" w:line="240" w:lineRule="auto"/>
            </w:pPr>
            <w:r>
              <w:rPr>
                <w:sz w:val="17"/>
                <w:rFonts w:eastAsia="SimSun"/>
              </w:rPr>
              <w:t>0.251 (0.160--0.302)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half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89.0% of typed and 91.1%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56.7% (48.5--64.6)</w:t>
            </w:r>
          </w:p>
        </w:tc>
        <w:tc>
          <w:tcPr>
            <w:tcW w:type="dxa" w:w="2448"/>
            <w:vAlign w:val="center"/>
          </w:tcPr>
          <w:p>
            <w:pPr>
              <w:spacing w:after="20" w:line="240" w:lineRule="auto"/>
            </w:pPr>
            <w:r>
              <w:rPr>
                <w:sz w:val="17"/>
                <w:rFonts w:eastAsia="SimSun"/>
              </w:rPr>
              <w:t>76.6% (73.7--79.8)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63.1% (54.9--70.6)</w:t>
            </w:r>
          </w:p>
        </w:tc>
        <w:tc>
          <w:tcPr>
            <w:tcW w:type="dxa" w:w="2448"/>
            <w:vAlign w:val="center"/>
          </w:tcPr>
          <w:p>
            <w:pPr>
              <w:spacing w:after="20" w:line="240" w:lineRule="auto"/>
            </w:pPr>
            <w:r>
              <w:rPr>
                <w:sz w:val="17"/>
                <w:rFonts w:eastAsia="SimSun"/>
              </w:rPr>
              <w:t>74.0% (72.8--75.4)</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56.7% of benign near-misses as attempts, free text 63.1%,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 xml:space="preserve">The routing study never invoked a partner; the consent form is what does. The adapter requires an explicit selection, and its outbound client verified the host name while an ACPs partner certificate carries its identity as an </w:t>
      </w:r>
      <w:r>
        <w:rPr>
          <w:rFonts w:ascii="Consolas" w:hAnsi="Consolas" w:eastAsia="SimSun"/>
          <w:sz w:val="18"/>
        </w:rPr>
        <w:t>acps://</w:t>
      </w:r>
      <w:r>
        <w:rPr>
          <w:rFonts w:eastAsia="SimSun"/>
        </w:rPr>
        <w:t xml:space="preserve"> URI SAN, so every attempt failed with </w:t>
      </w:r>
      <w:r>
        <w:rPr>
          <w:rFonts w:ascii="Consolas" w:hAnsi="Consolas" w:eastAsia="SimSun"/>
          <w:sz w:val="18"/>
        </w:rPr>
        <w:t>certificate is not valid for &lt;ip&gt;</w:t>
      </w:r>
      <w:r>
        <w:rPr>
          <w:rFonts w:eastAsia="SimSun"/>
        </w:rPr>
        <w:t>. Keeping chain verification and the AIC binding and dropping host-name verification on the deployed adapter makes the path work. 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 A URI-SAN identity model and host-name transport verification must be aligned.</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assistant's reply, because the adapter exposes no structured decision record: the read is line-scoped, so a name counts only when it leads a bullet in the recommendation section, which excludes names that appear only in the recall statistics or the candidate list; selection is also cross-checked against the discovery ranking. The ablation arms are staging copies of the deployed code with one environment-gated change each, paired with a control built from the same copy; the consent and effect experiment runs on the deployed adapter. The endpoint is not deterministic, so the routing samples and each judgment suite were run three times. The judgment layer is measured on one hosted model, so it supports an answer-shape comparison on this suite. The final label set was verified by human review. The injection stress set is built from templates, so its phrasing is more regular than real traffic; all inputs are synthetic or model-generated and identifiers are pseudonymized.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Model Context Protocol (MCP), Agent Communication Protocol (ACP), Agent-to-Agent Protocol (A2A), and Agent Network Protocol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Compromising real-world LLM-integrated applications with indirect prompt injection,"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2026.</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A study on the impact of format restrictions on performance of large language models,"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