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一半到三分之二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的严重度分量。多个问题可以在一次请求中共享同一份状态，这有利于成本与时延，但每个答案都独立评估、独立设阈。证据可能缺失时，必须提供复核或不匹配选项；有序评分不跨不同标尺比较 [7]。</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；这里的"组合"只表示推荐了多于一个能力，方案在语义上是否真的覆盖请求并未做裁定。对没有任何受测 Partner 宣传相应能力的请求，路径在三次运行中都没有推荐任何受测 Partner，但在 40 条里都推荐了公共注册中心中的其他智能体，底层索引在 40 条中也有 36 条返回了候选；也就是说，这条路径并不弃答，它给出当下可得的最佳候选，把是否接受交给用户。结构化对照更弱：只读取一次，仅靠发现服务把目标排在第一位的有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low、预算 2000 token，端点主机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在端点的默认档位下，大约每十条回复就有一条返回空内容；同一条目在同一温度、不同推理预算下也会给出不同答案。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10 到 16 条如此，类型化形态则一条都没有。该端点并不确定：完全相同的请求重复一次，也会改变一部分条目的答案，因此表中每个数字都是三次独立运行的均值，括号内是实测极差；逐条答案的一致率在类型化形态下为 94.5%，自由文本为 90.5%。</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92.5%（91.9--93.5）</w:t>
            </w:r>
          </w:p>
        </w:tc>
        <w:tc>
          <w:tcPr>
            <w:tcW w:type="dxa" w:w="2448"/>
            <w:vAlign w:val="center"/>
          </w:tcPr>
          <w:p>
            <w:pPr>
              <w:spacing w:after="20" w:line="240" w:lineRule="auto"/>
            </w:pPr>
            <w:r>
              <w:rPr>
                <w:sz w:val="17"/>
                <w:rFonts w:eastAsia="SimSun"/>
              </w:rPr>
              <w:t>0.132（0.116--0.146）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83.9%（79.0--90.3）</w:t>
            </w:r>
          </w:p>
        </w:tc>
        <w:tc>
          <w:tcPr>
            <w:tcW w:type="dxa" w:w="2448"/>
            <w:vAlign w:val="center"/>
          </w:tcPr>
          <w:p>
            <w:pPr>
              <w:spacing w:after="20" w:line="240" w:lineRule="auto"/>
            </w:pPr>
            <w:r>
              <w:rPr>
                <w:sz w:val="17"/>
                <w:rFonts w:eastAsia="SimSun"/>
              </w:rPr>
              <w:t>0.251（0.160--0.302）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约为自由文本的一半；准确率、Brier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89.0%，自由文本为 91.1%。</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56.7%（48.5--64.6）</w:t>
            </w:r>
          </w:p>
        </w:tc>
        <w:tc>
          <w:tcPr>
            <w:tcW w:type="dxa" w:w="2448"/>
            <w:vAlign w:val="center"/>
          </w:tcPr>
          <w:p>
            <w:pPr>
              <w:spacing w:after="20" w:line="240" w:lineRule="auto"/>
            </w:pPr>
            <w:r>
              <w:rPr>
                <w:sz w:val="17"/>
                <w:rFonts w:eastAsia="SimSun"/>
              </w:rPr>
              <w:t>76.6%（73.7--79.8）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63.1%（54.9--70.6）</w:t>
            </w:r>
          </w:p>
        </w:tc>
        <w:tc>
          <w:tcPr>
            <w:tcW w:type="dxa" w:w="2448"/>
            <w:vAlign w:val="center"/>
          </w:tcPr>
          <w:p>
            <w:pPr>
              <w:spacing w:after="20" w:line="240" w:lineRule="auto"/>
            </w:pPr>
            <w:r>
              <w:rPr>
                <w:sz w:val="17"/>
                <w:rFonts w:eastAsia="SimSun"/>
              </w:rPr>
              <w:t>74.0%（72.8--75.4）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56.7% 的近邻良性项判为引导尝试，自由文本为 63.1%，关键词基线为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 xml:space="preserve">路由研究从未触发过调用，真正触发调用的是用户给出的同意。适配器要求显式选择，而它的出站客户端会做主机名校验，ACPs 的 Partner 证书却把身份放在 </w:t>
      </w:r>
      <w:r>
        <w:rPr>
          <w:rFonts w:ascii="Consolas" w:hAnsi="Consolas" w:eastAsia="SimSun"/>
          <w:sz w:val="18"/>
        </w:rPr>
        <w:t>acps://</w:t>
      </w:r>
      <w:r>
        <w:rPr>
          <w:rFonts w:eastAsia="SimSun"/>
        </w:rPr>
        <w:t xml:space="preserve"> URI SAN 里，因此每次尝试都以 </w:t>
      </w:r>
      <w:r>
        <w:rPr>
          <w:rFonts w:ascii="Consolas" w:hAnsi="Consolas" w:eastAsia="SimSun"/>
          <w:sz w:val="18"/>
        </w:rPr>
        <w:t>certificate is not valid for &lt;ip&gt;</w:t>
      </w:r>
      <w:r>
        <w:rPr>
          <w:rFonts w:eastAsia="SimSun"/>
        </w:rPr>
        <w:t xml:space="preserve"> 失败。在已部署适配器上保留链校验与 AIC 绑定、去掉主机名校验之后，这条路径即可打通。在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次重复投递的同意事件没有产生任何新增动作，并返回了完全相同的缓存回复。也就是说，同意是调用的必要条件，而一个事件 ID 只产生一次 Partner 侧动作。URI-SAN 身份模型与基于主机名的传输校验必须相互对齐。</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736 条标签的独立模型复核（复核者既看不到构造标签，也看不到被测模型的预测）发现 80 条（10.9%）给出了不同的确定标签、19 条（2.6%）为不确定，分歧集中在澄清判断 J3（40 条中有 10 条被质疑）与 J7 的「提及还是指令」边界上，而候选选择与同意这两个判断点没有分歧；这 99 条争议全部送交第三遍仲裁，其中 24 条维持构造标签、60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Systems，arXiv:2512.08296，2026。</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中文初稿 | 仅为仿真器试点</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