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isolation, discovery and routing, consent, identity-bound execution, state,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record a consent-gated invocation and its partner-side effect, and consult the judgment plane in advisory mode.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roughly half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[16]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framework for onboarding, discovery, collaboration, and instrumentation in an Internet of Agents [14], and the open-source Leader and Partner processes used here implement those behaviors [1].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[20].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[15],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[24] and ToolEmu [17]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[19] attaches privilege constraints to individual tool calls, AgentSpec [21] and GuardAgent [23] compile and check runtime rules, and IsolateGPT [22]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 7].</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[18];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Multiple questions can share one request and its state, which helps cost and latency, but each answer is evaluated and thresholded independently. A review or no-match option is required where evidence can be missing [7], and ordinal scores are not compared across different rubrics.</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(J2, J3, J4), keeps a key-based result with a warning (J5), or surfaces a terminal failure (J6).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a name counts as a recommendation only when it leads a bullet in the reply's recommendation section, so names that appear only in the recall statistics or in the candidate list are excluded.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The gateway makes no abstention decision of its own: it presents what the discovery index returns and leaves acceptance to the user. For requests no study partner advertises, that design shows up as follows: no study partner was recommended in any of the three deliveries, while the index returned a candidate for 36 of the 40 requests and the replies named a public-registry agent in all 40.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no output-token cap) answered a 280-item suite split into 141 training, 77 development, and 62 held-out items by stable task hash; an empty reply is retried rather than scored. Labels were built from a latent variable and re-read blind by the same model with only the text, question, and options; that review differed on 80 of the 736 labels (10.9%) and was uncertain on 19 (2.6%), concentrating on J3 and on the J7 mention-versus-instruction boundary. All 99 contested labels went to a third pass that saw both readings: 24 kept, 60 changed, 15 unresolved. The final set was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11 to 14 of the 280 did and no typed reply did. Repeating an identical request changes the answer on a small share of items, so every cell below is the mean of three runs with the observed range in parentheses. Pairwise answer agreement between runs is 95.2% for typed answers and 89.4%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94.1% (93.5--95.2)</w:t>
            </w:r>
          </w:p>
        </w:tc>
        <w:tc>
          <w:tcPr>
            <w:tcW w:type="dxa" w:w="2448"/>
            <w:vAlign w:val="center"/>
          </w:tcPr>
          <w:p>
            <w:pPr>
              <w:spacing w:after="20" w:line="240" w:lineRule="auto"/>
            </w:pPr>
            <w:r>
              <w:rPr>
                <w:sz w:val="17"/>
                <w:rFonts w:eastAsia="SimSun"/>
              </w:rPr>
              <w:t>0.095 (0.087--0.105)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(80.6--87.1)</w:t>
            </w:r>
          </w:p>
        </w:tc>
        <w:tc>
          <w:tcPr>
            <w:tcW w:type="dxa" w:w="2448"/>
            <w:vAlign w:val="center"/>
          </w:tcPr>
          <w:p>
            <w:pPr>
              <w:spacing w:after="20" w:line="240" w:lineRule="auto"/>
            </w:pPr>
            <w:r>
              <w:rPr>
                <w:sz w:val="17"/>
                <w:rFonts w:eastAsia="SimSun"/>
              </w:rPr>
              <w:t>0.266 (0.198--0.311)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a third of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89.5% of typed and 88.5%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52.5% (44.3--60.5)</w:t>
            </w:r>
          </w:p>
        </w:tc>
        <w:tc>
          <w:tcPr>
            <w:tcW w:type="dxa" w:w="2448"/>
            <w:vAlign w:val="center"/>
          </w:tcPr>
          <w:p>
            <w:pPr>
              <w:spacing w:after="20" w:line="240" w:lineRule="auto"/>
            </w:pPr>
            <w:r>
              <w:rPr>
                <w:sz w:val="17"/>
                <w:rFonts w:eastAsia="SimSun"/>
              </w:rPr>
              <w:t>78.4% (76.3--79.8)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59.6% (51.3--67.3)</w:t>
            </w:r>
          </w:p>
        </w:tc>
        <w:tc>
          <w:tcPr>
            <w:tcW w:type="dxa" w:w="2448"/>
            <w:vAlign w:val="center"/>
          </w:tcPr>
          <w:p>
            <w:pPr>
              <w:spacing w:after="20" w:line="240" w:lineRule="auto"/>
            </w:pPr>
            <w:r>
              <w:rPr>
                <w:sz w:val="17"/>
                <w:rFonts w:eastAsia="SimSun"/>
              </w:rPr>
              <w:t>75.4% (73.7--77.2)</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52.5% of benign near-misses as attempts, free text 59.6%,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reply as described in §6 and cross-checked against the discovery ranking. The ablation arms are staging copies of the deployed code with one environment-gated change each, paired with a control built from the same copy, while the consent, effect, and advisory-judgment experiments run on the deployed adapter. The judgment layer is measured on one hosted model. The injection stress set is built from templates, so its phrasing is more regular than real traffic; all inputs are synthetic or model-generated, identifiers are pseudonymized, no outbound message is delivered, and no real user message body is used as a benchmark input or example.</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Model Context Protocol (MCP), Agent Communication Protocol (ACP), Agent-to-Agent Protocol (A2A), and Agent Network Protocol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Compromising real-world LLM-integrated applications with indirect prompt injection,"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2025.</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A study on the impact of format restrictions on performance of large language models,"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