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pPr>
        <w:spacing w:after="20"/>
        <w:jc w:val="center"/>
      </w:pPr>
      <w:r>
        <w:rPr>
          <w:rFonts w:ascii="Times New Roman" w:hAnsi="Times New Roman" w:eastAsia="SimSun"/>
          <w:b/>
          <w:sz w:val="22"/>
        </w:rPr>
        <w:t>蔡亦张（Yizhang Cai）</w:t>
      </w:r>
    </w:p>
    <w:p>
      <w:pPr>
        <w:spacing w:after="160"/>
        <w:jc w:val="center"/>
      </w:pPr>
      <w:r>
        <w:rPr>
          <w:rFonts w:ascii="Times New Roman" w:hAnsi="Times New Roman" w:eastAsia="SimSun"/>
          <w:sz w:val="19"/>
        </w:rPr>
        <w:t>北京邮电大学人工智能学院，中国北京</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路径，实测其中的发现与推荐环节，并记录一次经同意门控放行的调用及其在伙伴侧产生的副作用。由固定模型生成的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一半到三分之二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[16]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Li 等人提出 Agent Collaboration Protocols，把它作为面向智能体互联网（Internet of Agents）的体系化框架，给出智能体接入（onboarding）、探查（reconnaissance）、协作执行（engagement）与可观测（instrumentation）的方法，并指出现有 MCP、A2A、ANP 等智能体通信协议彼此割裂、只面向窄域应用 [14]。该框架以开源项目的形式落地，由北京邮电大学牵头、中国电子技术标准化研究院支持，参考实现包括协议规范、SDK、命令行工具、CA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[20]。只返回封闭标签、命名选项上的分布或有序评分的决策模型，输出空间更小：一次回答不可能变成一次工具调用，阈值、回退与副作用都留在应用代码之中。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[15]，而智能体基准显示现有防御仍留有可观的残余风险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[24] 与 ToolEmu [17] 这类基准显示，使用工具的智能体会被自己检索到的内容诱导去做有害动作；StruQ [3] 与 CaMeL [5] 的应对方式是控制「不受信任文本到动作空间」这条通路，而不是去判断文本本身是否恶意。另一条路线把约束放进运行时：Progent [19] 给单次工具调用附加权限约束，AgentSpec [21] 与 GuardAgent [23] 负责编译并检查运行时规则，IsolateGPT [22]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[18]；最后一条是分布式请求处理中的幂等要求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的严重度分量。多个问题可以在一次请求中共享同一份状态，这有利于成本与时延，但每个答案都独立评估、独立设阈。证据可能缺失时，必须提供复核或不匹配选项；有序评分不跨不同标尺比较 [7]。</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适配器返回的是面向用户的回复，回复里会指明它选择的能力，因此选择结果按 §9.6 的按行规则从回复文本中读取。适配器不提供结构化的决策记录。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调用者与会话分区使一个调用者无法读取另一个调用者的待处理状态；事件级幂等存储使被重复投递的事件不再重新进入处理；移除任一方都会恢复对应失败。吞吐量不在本研究范围内；网关的分项开销在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条请求；由于托管端点并不确定，每条样例都在全新的调用者与会话中经已部署的入站与适配器投递三次。选择结果按 §9.6 的按行规则从回复中读取，结构化排名则对每条请求只读取一次。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；这里的"组合"只表示推荐了多于一个能力，方案在语义上是否真的覆盖请求并未做裁定。对没有任何受测 Partner 宣传相应能力的请求，路径在三次运行中都没有推荐任何受测 Partner，但在 40 条里都推荐了公共注册中心中的其他智能体，底层索引在 40 条中也有 36 条返回了候选；也就是说，这条路径并不弃答，它给出当下可得的最佳候选，把是否接受交给用户。结构化对照更弱：只读取一次，仅靠发现服务把目标排在第一位的有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low、预算 2000 token，端点主机 </w:t>
      </w:r>
      <w:r>
        <w:rPr>
          <w:rFonts w:ascii="Consolas" w:hAnsi="Consolas" w:eastAsia="SimSun"/>
          <w:sz w:val="18"/>
        </w:rPr>
        <w:t>api.deepseek.com</w:t>
      </w:r>
      <w:r>
        <w:rPr>
          <w:rFonts w:eastAsia="SimSun"/>
        </w:rPr>
        <w:t>）上测量判断层。套件包含 280 条，按任务标识的稳定哈希划分为训练、开发与留出三部分，分别为 141、77 与 62 条。在端点的默认档位下，大约每十条回复就有一条返回空内容；同一条目在同一温度、不同推理预算下也会给出不同答案。标签先由潜在变量生成，再由同一模型在看不到任何标签的前提下，只依据文本、问题与选项独立复读一遍；两位读者不一致或不确定的 99 条送交第三遍，由能看到两种读法与理由的仲裁者裁决，其中 60 条改了标签、15 条仍未确定、其余维持原判。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10 到 16 条如此，类型化形态则一条都没有。该端点并不确定：完全相同的请求重复一次，也会改变一部分条目的答案，因此表中每个数字都是三次独立运行的均值，括号内是实测极差；逐条答案的一致率在类型化形态下为 94.5%，自由文本为 90.5%。</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92.5%（91.9--93.5）</w:t>
            </w:r>
          </w:p>
        </w:tc>
        <w:tc>
          <w:tcPr>
            <w:tcW w:type="dxa" w:w="2448"/>
            <w:vAlign w:val="center"/>
          </w:tcPr>
          <w:p>
            <w:pPr>
              <w:spacing w:after="20" w:line="240" w:lineRule="auto"/>
            </w:pPr>
            <w:r>
              <w:rPr>
                <w:sz w:val="17"/>
                <w:rFonts w:eastAsia="SimSun"/>
              </w:rPr>
              <w:t>0.132（0.116--0.146）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83.9%（79.0--90.3）</w:t>
            </w:r>
          </w:p>
        </w:tc>
        <w:tc>
          <w:tcPr>
            <w:tcW w:type="dxa" w:w="2448"/>
            <w:vAlign w:val="center"/>
          </w:tcPr>
          <w:p>
            <w:pPr>
              <w:spacing w:after="20" w:line="240" w:lineRule="auto"/>
            </w:pPr>
            <w:r>
              <w:rPr>
                <w:sz w:val="17"/>
                <w:rFonts w:eastAsia="SimSun"/>
              </w:rPr>
              <w:t>0.251（0.160--0.302）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约为自由文本的一半；准确率、Brier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89.0%，自由文本为 91.1%。</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56.7%（48.5--64.6）</w:t>
            </w:r>
          </w:p>
        </w:tc>
        <w:tc>
          <w:tcPr>
            <w:tcW w:type="dxa" w:w="2448"/>
            <w:vAlign w:val="center"/>
          </w:tcPr>
          <w:p>
            <w:pPr>
              <w:spacing w:after="20" w:line="240" w:lineRule="auto"/>
            </w:pPr>
            <w:r>
              <w:rPr>
                <w:sz w:val="17"/>
                <w:rFonts w:eastAsia="SimSun"/>
              </w:rPr>
              <w:t>76.6%（73.7--79.8）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63.1%（54.9--70.6）</w:t>
            </w:r>
          </w:p>
        </w:tc>
        <w:tc>
          <w:tcPr>
            <w:tcW w:type="dxa" w:w="2448"/>
            <w:vAlign w:val="center"/>
          </w:tcPr>
          <w:p>
            <w:pPr>
              <w:spacing w:after="20" w:line="240" w:lineRule="auto"/>
            </w:pPr>
            <w:r>
              <w:rPr>
                <w:sz w:val="17"/>
                <w:rFonts w:eastAsia="SimSun"/>
              </w:rPr>
              <w:t>74.0%（72.8--75.4）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56.7% 的近邻良性项判为引导尝试，自由文本为 63.1%，关键词基线为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 xml:space="preserve">路由研究从未触发过调用，真正触发调用的是用户给出的同意。适配器要求显式选择，而它的出站客户端会做主机名校验，ACPs 的 Partner 证书却把身份放在 </w:t>
      </w:r>
      <w:r>
        <w:rPr>
          <w:rFonts w:ascii="Consolas" w:hAnsi="Consolas" w:eastAsia="SimSun"/>
          <w:sz w:val="18"/>
        </w:rPr>
        <w:t>acps://</w:t>
      </w:r>
      <w:r>
        <w:rPr>
          <w:rFonts w:eastAsia="SimSun"/>
        </w:rPr>
        <w:t xml:space="preserve"> URI SAN 里，因此每次尝试都以 </w:t>
      </w:r>
      <w:r>
        <w:rPr>
          <w:rFonts w:ascii="Consolas" w:hAnsi="Consolas" w:eastAsia="SimSun"/>
          <w:sz w:val="18"/>
        </w:rPr>
        <w:t>certificate is not valid for &lt;ip&gt;</w:t>
      </w:r>
      <w:r>
        <w:rPr>
          <w:rFonts w:eastAsia="SimSun"/>
        </w:rPr>
        <w:t xml:space="preserve"> 失败。在已部署适配器上保留链校验与 AIC 绑定、去掉主机名校验之后，这条路径即可打通。在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次重复投递的同意事件没有产生任何新增动作，并返回了完全相同的缓存回复。也就是说，同意是调用的必要条件，而一个事件 ID 只产生一次 Partner 侧动作。URI-SAN 身份模型与基于主机名的传输校验必须相互对齐。</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是从助手回复中读出来的，因为适配器不暴露结构化的决策记录；读取按行限定，只有出现在回复推荐小节行首的名称才计为一个被推荐的能力，因此只在召回统计或候选列表中出现的名称会被排除。选择结果另与发现服务的结构化排名交叉核对。消融臂是部署代码的 staging 副本，每个只含一处由环境变量控制的改动，并与用同一份副本构建的对照臂配对；同意与副作用实验则运行在已部署适配器上。该端点并不确定，重复同一条请求会改变一部分条目的答案；因此路由样例投递三次，130 条样例中有 18 条（其中 7 条属于 direct）的结局在投递之间发生了变化。判断层只在一个已部署的托管模型与生成器标注上测量，因此它支撑的是该套件上的答案形态比较；所有数字都以三次运行的极差形式报告。对全部 736 条标签的独立模型复核（复核者既看不到构造标签，也看不到被测模型的预测）发现 80 条（10.9%）给出了不同的确定标签、19 条（2.6%）为不确定，分歧集中在澄清判断 J3（40 条中有 10 条被质疑）与 J7 的「提及还是指令」边界上，而候选选择与同意这两个判断点没有分歧；这 99 条争议全部送交第三遍仲裁，其中 24 条维持构造标签、60 条改判、15 条仍未确定。最终标签集经人工复核。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MCP, ACP, A2A, and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Systems，arXiv:2512.08296，2026。</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中文初稿 | 仅为仿真器试点</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