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r>
        <w:rPr>
          <w:b/>
          <w:rFonts w:eastAsia="SimSun"/>
        </w:rPr>
        <w:t>Yizhang Cai, Jun Liu, Di Ma, Ke Yu, Ke Li</w:t>
      </w:r>
    </w:p>
    <w:p>
      <w:r>
        <w:rPr>
          <w:rFonts w:eastAsia="SimSun"/>
        </w:rPr>
        <w:t>Yizhang Cai, Jun Liu, Ke Yu, Ke Li: School of Artificial Intelligence, Beijing University of Posts and Telecommunications, Beijing, China</w:t>
      </w:r>
    </w:p>
    <w:p>
      <w:r>
        <w:rPr>
          <w:rFonts w:eastAsia="SimSun"/>
        </w:rPr>
        <w:t>Di Ma: Beijing Guoshu Zhilian Technology Co., Ltd., Beijing, China</w:t>
      </w:r>
    </w:p>
    <w:p>
      <w:r>
        <w:rPr>
          <w:rFonts w:eastAsia="SimSun"/>
        </w:rPr>
        <w:t>Emails: 1187800909@qq.com (Yizhang Cai); liujun@bupt.edu.cn (Jun Liu); yuke@bupt.edu.cn (Ke Yu); like1990@bupt.edu.cn (Ke Li, corresponding author); madi@guoshuzhilian.com.cn (Di Ma)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isolation, discovery and routing, consent, identity-bound execution, state,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record a consent-gated invocation and its partner-side effect, and consult the judgment plane in advisory mode.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roughly half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[17]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protocol suite for the Internet of Agents: registration (ARP), discovery (ADP), interaction (AIP), and tooling (ATP), extended by protocols for authenticated access and accounting and for agent management, and positioned against MCP's focus on tool invocation, A2A's on enterprise connectivity, and ANP's lack of access authentication and management [14, 15]. The open-source Leader and Partner processes used here implement those behaviors [1], and the suite's own roadmap leaves security mechanisms and multi-vendor validation to future work [15].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[21].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[16],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[25] and ToolEmu [18]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[20] attaches privilege constraints to individual tool calls, AgentSpec [22] and GuardAgent [24] compile and check runtime rules, and IsolateGPT [23]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 7].</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[19];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Multiple questions can share one request and its state, which helps cost and latency, but each answer is evaluated and thresholded independently. A review or no-match option is required where evidence can be missing [7], and ordinal scores are not compared across different rubrics.</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(J2, J3, J4), keeps a key-based result with a warning (J5), or surfaces a terminal failure (J6).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a name counts as a recommendation only when it leads a bullet in the reply's recommendation section, so names that appear only in the recall statistics or in the candidate list are excluded.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The gateway makes no abstention decision of its own: it presents what the discovery index returns and leaves acceptance to the user. For requests no study partner advertises, that design shows up as follows: no study partner was recommended in any of the three deliveries, while the index returned a candidate for 36 of the 40 requests and the replies named a public-registry agent in all 40.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no output-token cap) answered a 280-item suite split into 141 training, 77 development, and 62 held-out items by stable task hash; an empty reply is retried rather than scored. Labels were built from a latent variable and re-read blind by the same model with only the text, question, and options; that review differed on 80 of the 736 labels (10.9%) and was uncertain on 19 (2.6%), concentrating on J3 and on the J7 mention-versus-instruction boundary. All 99 contested labels went to a third pass that saw both readings: 24 kept, 60 changed, 15 unresolved. The final set was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11 to 14 of the 280 did and no typed reply did. Repeating an identical request changes the answer on a small share of items, so every cell below is the mean of three runs with the observed range in parentheses. Pairwise answer agreement between runs is 95.2% for typed answers and 89.4%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94.1% (93.5--95.2)</w:t>
            </w:r>
          </w:p>
        </w:tc>
        <w:tc>
          <w:tcPr>
            <w:tcW w:type="dxa" w:w="2448"/>
            <w:vAlign w:val="center"/>
          </w:tcPr>
          <w:p>
            <w:pPr>
              <w:spacing w:after="20" w:line="240" w:lineRule="auto"/>
            </w:pPr>
            <w:r>
              <w:rPr>
                <w:sz w:val="17"/>
                <w:rFonts w:eastAsia="SimSun"/>
              </w:rPr>
              <w:t>0.095 (0.087--0.105)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(80.6--87.1)</w:t>
            </w:r>
          </w:p>
        </w:tc>
        <w:tc>
          <w:tcPr>
            <w:tcW w:type="dxa" w:w="2448"/>
            <w:vAlign w:val="center"/>
          </w:tcPr>
          <w:p>
            <w:pPr>
              <w:spacing w:after="20" w:line="240" w:lineRule="auto"/>
            </w:pPr>
            <w:r>
              <w:rPr>
                <w:sz w:val="17"/>
                <w:rFonts w:eastAsia="SimSun"/>
              </w:rPr>
              <w:t>0.266 (0.198--0.311)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a third of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89.5% of typed and 88.5%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52.5% (44.3--60.5)</w:t>
            </w:r>
          </w:p>
        </w:tc>
        <w:tc>
          <w:tcPr>
            <w:tcW w:type="dxa" w:w="2448"/>
            <w:vAlign w:val="center"/>
          </w:tcPr>
          <w:p>
            <w:pPr>
              <w:spacing w:after="20" w:line="240" w:lineRule="auto"/>
            </w:pPr>
            <w:r>
              <w:rPr>
                <w:sz w:val="17"/>
                <w:rFonts w:eastAsia="SimSun"/>
              </w:rPr>
              <w:t>78.4% (76.3--79.8)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59.6% (51.3--67.3)</w:t>
            </w:r>
          </w:p>
        </w:tc>
        <w:tc>
          <w:tcPr>
            <w:tcW w:type="dxa" w:w="2448"/>
            <w:vAlign w:val="center"/>
          </w:tcPr>
          <w:p>
            <w:pPr>
              <w:spacing w:after="20" w:line="240" w:lineRule="auto"/>
            </w:pPr>
            <w:r>
              <w:rPr>
                <w:sz w:val="17"/>
                <w:rFonts w:eastAsia="SimSun"/>
              </w:rPr>
              <w:t>75.4% (73.7--77.2)</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52.5% of benign near-misses as attempts, free text 59.6%,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reply as described in §6 and cross-checked against the discovery ranking. The ablation arms are staging copies of the deployed code with one environment-gated change each, paired with a control built from the same copy, while the consent, effect, and advisory-judgment experiments run on the deployed adapter. The judgment layer is measured on one hosted model. The injection stress set is built from templates, so its phrasing is more regular than real traffic; all inputs are synthetic or model-generated, identifiers are pseudonymized, no outbound message is delivered, and no real user message body is used as a benchmark input or example.</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Model Context Protocol (MCP), Agent Communication Protocol (ACP), Agent-to-Agent Protocol (A2A), and Agent Network Protocol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Compromising real-world LLM-integrated applications with indirect prompt injection,"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2025.</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J. Liu et al., "ACPs: Agent collaboration protocols for the Internet of Agents," arXiv:2505.13523, 2025.</w:t>
      </w:r>
    </w:p>
    <w:p>
      <w:pPr>
        <w:pStyle w:val="ListNumber"/>
      </w:pPr>
      <w:r>
        <w:rPr>
          <w:rFonts w:eastAsia="SimSun"/>
        </w:rPr>
        <w:t xml:space="preserve">Y. Liu et al., "Formalizing and benchmarking prompt injection attacks and defenses,"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A study on the impact of format restrictions on performance of large language models,"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