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r>
        <w:rPr>
          <w:b/>
          <w:rFonts w:eastAsia="SimSun"/>
        </w:rPr>
        <w:t>蔡亦张，刘军，马镝，禹可，李珂</w:t>
      </w:r>
    </w:p>
    <w:p>
      <w:pPr>
        <w:spacing w:after="160"/>
        <w:jc w:val="center"/>
      </w:pPr>
      <w:r>
        <w:rPr>
          <w:rFonts w:ascii="Times New Roman" w:hAnsi="Times New Roman" w:eastAsia="SimSun"/>
          <w:sz w:val="19"/>
        </w:rPr>
        <w:t>北京邮电大学人工智能学院（蔡亦张、刘军、禹可、李珂）；北京国数智联科技有限公司（马镝）；通讯作者：李珂，like1990@bupt.edu.cn；1187800909@qq.com（蔡亦张）、liujun@bupt.edu.cn（刘军）、yuke@bupt.edu.cn（禹可）、madi@guoshuzhilian.com.cn（马镝）</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[17]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等人把 Agent Collaboration Protocols 描述为面向智能体互联网（Internet of Agents）的一套协议族：注册（ARP）、发现（ADP）、交互（AIP）与工具（ATP），并辅以面向可信接入与计费的扩展协议以及智能体管理协议；其定位针对的是以工具调用为中心的 MCP、面向企业互通的 A2A，以及缺少接入认证与管理的 ANP [14, 15]。该协议族自身的路线图把安全机制与多厂商验证留给后续工作 [15]。该框架以开源项目的形式落地，由北京邮电大学牵头、中国电子技术标准化研究院支持，参考实现包括协议规范、SDK、命令行工具、CA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[21]。只返回封闭标签、命名选项上的分布或有序评分的决策模型，输出空间更小：一次回答不可能变成一次工具调用，阈值、回退与副作用都留在应用代码之中。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[16]，而智能体基准显示现有防御仍留有可观的残余风险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[25] 与 ToolEmu [18] 这类基准显示，使用工具的智能体会被自己检索到的内容诱导去做有害动作；StruQ [3] 与 CaMeL [5] 的应对方式是控制「不受信任文本到动作空间」这条通路，而不是去判断文本本身是否恶意。另一条路线把约束放进运行时：Progent [20] 给单次工具调用附加权限约束，AgentSpec [22] 与 GuardAgent [24] 负责编译并检查运行时规则，IsolateGPT [23]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[19]；最后一条是分布式请求处理中的幂等要求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J. Liu 等，ACPs: Agent collaboration protocols for the Internet of Agents，arXiv:2505.13523，2025。</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