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执行成越权调用。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保持为密码学与确定性的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ACPs 并不只是一套给原型协议栈起的名字。Li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本身的行为，而不是某种私有替代方案。该仓库的英文版首页公开记录了本文所用的版本与模块划分 [1]。</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两类文献解释了外围策略为什么需要拒答与校准。选择性分类的工作形式化了覆盖率与风险之间的权衡，并说明预测器在置信度低时应当能够拒绝作答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给出七个模块与判断平面。每个模块都由它要阻止的那一类失败来定义。本研究实际检验的是 M2、M3、M6 以及 M5 中 AIP 层的校验；M4 不在路由主实验中测试，但在 §9.4 的单独同意实验中测试过；M7 负责投递并记录结果。</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w:t>
      </w:r>
    </w:p>
    <w:p>
      <w:r>
        <w:rPr>
          <w:rFonts w:eastAsia="SimSun"/>
        </w:rPr>
        <w:t>两条设计规则来自上面这些评测文献。凡是证据可能缺失的地方，都必须提供「不匹配」或「转人工复核」选项，因为在封闭选项集上强制选择，会在该集合无法表示的输入上给出高置信度的错误答案 [7]。有序评分不得跨标尺比较，因为同一个数值位置在不同档位描述下含义并不相同。</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正面接纳了三种有文献记录的失败模式，而不是把它们当作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条，按任务标识的稳定哈希划分为训练、开发与留出三部分，比例为 50/25/25。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注入项，不足以给出注入率的上界，因此这个问题改由一套专门的注入压力集测量。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爱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560 条标签的独立模型复核（复核者既看不到构造标签，也看不到被测模型的预测）发现 5.9% 存在分歧，集中在澄清判断 J3（40 条中有 10 条被质疑）与 J7 的「提及还是指令」边界上，而候选选择与同意这两个判断点没有分歧；第三遍仲裁在 52 条争议中，19 条维持构造标签、18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MCP, ACP, A2A, and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等，Prompt injection attacks and defenses in LLM-integrated applications，第 33 届 USENIX 安全研讨会，2024。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