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A published artifact: the request suites, per-sample routing outcomes, ablation builds with same-code controls, the partner configuration, and the harness that repeats the protocol.</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 The study exercises M2, M3 and M6 and the AIP-layer checks of M5; M4 is outside the routing study but is tested in the separate consent experiment of §9.4, and M7 delivers and records results.</w:t>
      </w:r>
    </w:p>
    <w:p>
      <w:pPr>
        <w:pStyle w:val="Heading2"/>
      </w:pPr>
      <w:r>
        <w:rPr>
          <w:rFonts w:eastAsia="SimSun"/>
        </w:rPr>
        <w:t>4.1 Module M1: ingress authentication and normalization</w:t>
      </w:r>
    </w:p>
    <w:p>
      <w:r>
        <w:rPr>
          <w:rFonts w:eastAsia="SimSun"/>
        </w:rPr>
        <w:t>M1 verifies the iMessage/Photon webhook, validates its schema, and creates a normalized event. Invalid signatures or malformed events stop before discovery.</w:t>
      </w:r>
    </w:p>
    <w:p>
      <w:pPr>
        <w:pStyle w:val="Heading2"/>
      </w:pPr>
      <w:r>
        <w:rPr>
          <w:rFonts w:eastAsia="SimSun"/>
        </w:rPr>
        <w:t>4.2 Module M2: identity and session isolation</w:t>
      </w:r>
    </w:p>
    <w:p>
      <w:r>
        <w:rPr>
          <w:rFonts w:eastAsia="SimSun"/>
        </w:rPr>
        <w:t>M2 derives a caller--conversation context and partitions task state and replies by that key; telemetry identifiers are hashed or pseudonymized.</w:t>
      </w:r>
    </w:p>
    <w:p>
      <w:pPr>
        <w:pStyle w:val="Heading2"/>
      </w:pPr>
      <w:r>
        <w:rPr>
          <w:rFonts w:eastAsia="SimSun"/>
        </w:rPr>
        <w:t>4.3 Module M3: capability discovery and routing</w:t>
      </w:r>
    </w:p>
    <w:p>
      <w:r>
        <w:rPr>
          <w:rFonts w:eastAsia="SimSun"/>
        </w:rPr>
        <w:t>M3 converts discovery output into candidates containing identity, capability, operation, and endpoint metadata. J1 and J2 rank or reject that enumerated set.</w:t>
      </w:r>
    </w:p>
    <w:p>
      <w:pPr>
        <w:pStyle w:val="Heading2"/>
      </w:pPr>
      <w:r>
        <w:rPr>
          <w:rFonts w:eastAsia="SimSun"/>
        </w:rPr>
        <w:t>4.4 Module M4: consent and policy control</w:t>
      </w:r>
    </w:p>
    <w:p>
      <w:r>
        <w:rPr>
          <w:rFonts w:eastAsia="SimSun"/>
        </w:rPr>
        <w:t>M4 requires an explicit candidate selection and execution instruction. J3 and J4 may parameterize thresholds, but policy code decides when to ask and which failures are terminal.</w:t>
      </w:r>
    </w:p>
    <w:p>
      <w:pPr>
        <w:pStyle w:val="Heading2"/>
      </w:pPr>
      <w:r>
        <w:rPr>
          <w:rFonts w:eastAsia="SimSun"/>
        </w:rPr>
        <w:t>4.5 Module M5: identity-bound protocol execution</w:t>
      </w:r>
    </w:p>
    <w:p>
      <w:r>
        <w:rPr>
          <w:rFonts w:eastAsia="SimSun"/>
        </w:rPr>
        <w:t>M5 validates transport, path, AIC metadata, mutual TLS, and the AIP v2.2 lifecycle. It consumes no model judgment.</w:t>
      </w:r>
    </w:p>
    <w:p>
      <w:pPr>
        <w:pStyle w:val="Heading2"/>
      </w:pPr>
      <w:r>
        <w:rPr>
          <w:rFonts w:eastAsia="SimSun"/>
        </w:rPr>
        <w:t>4.6 Module M6: state, deduplication, and recovery</w:t>
      </w:r>
    </w:p>
    <w:p>
      <w:r>
        <w:rPr>
          <w:rFonts w:eastAsia="SimSun"/>
        </w:rPr>
        <w:t>M6 stores event, consent, task, protocol, retry, and delivery state; it claims idempotency keys before effects and classifies recoverable failures. J5 and J6 address semantic replay and retryability that keys or status codes cannot fully express.</w:t>
      </w:r>
    </w:p>
    <w:p>
      <w:pPr>
        <w:pStyle w:val="Heading2"/>
      </w:pPr>
      <w:r>
        <w:rPr>
          <w:rFonts w:eastAsia="SimSun"/>
        </w:rPr>
        <w:t>4.7 Module M7: delivery and observability</w:t>
      </w:r>
    </w:p>
    <w:p>
      <w:r>
        <w:rPr>
          <w:rFonts w:eastAsia="SimSun"/>
        </w:rPr>
        <w:t>M7 returns the result to the originating conversation and records trace, status, size, retry, endpoint, failure, and judgment telemetry without storing message bodies, phone numbers, credentials, or private keys.</w:t>
      </w:r>
    </w:p>
    <w:p>
      <w:pPr>
        <w:pStyle w:val="Heading2"/>
      </w:pPr>
      <w:r>
        <w:rPr>
          <w:rFonts w:eastAsia="SimSun"/>
        </w:rPr>
        <w:t>4.8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which keeps the four invariants independent of model behavior. The model receives a derived projection of candidate metadata, policy facts, and redacted intent rather than raw message bodies or identifiers.</w:t>
      </w:r>
    </w:p>
    <w:p>
      <w:pPr>
        <w:pStyle w:val="Heading2"/>
      </w:pPr>
      <w:r>
        <w:rPr>
          <w:rFonts w:eastAsia="SimSun"/>
        </w:rPr>
        <w:t>4.9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with a shared handling endpoint" title="Fig. 2. Reference gateway processing flow with a shared handling endpoint"/>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 with a shared handling endpoint</w:t>
      </w:r>
    </w:p>
    <w:p>
      <w:r>
        <w:rPr>
          <w:rFonts w:eastAsia="SimSun"/>
        </w:rPr>
        <w:t>Figure 2 depicts the reference gateway processing flow, rather than the AIP protocol state machine. Rejections, cancellation, cached replay, and execution outcomes converge on recording and event completion; waiting preserves context, and a new user reply re-enters authenticated ingress. Retry requires replay safety, valid consent, and a finite budget. These design branches do not imply that every branch was exercised in the deployment study.</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keeps a key-based result with a warning, or surfaces a terminal failure according to the point.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are generated from the same model: requests that plausibly fit two advertised capabilities, and requests that no registered partner advertises. The suite contains 50 direct, 40 ambiguous, and 40 out-of-scope requests, 10 direct requests per partner.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(§9.5),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b/>
          <w:rFonts w:eastAsia="SimSun"/>
        </w:rPr>
        <w:t>Table 4.</w:t>
      </w:r>
      <w:r>
        <w:rPr>
          <w:rFonts w:eastAsia="SimSun"/>
        </w:rPr>
        <w:t xml:space="preserve"> Ablation levers and their controls.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Arm</w:t>
            </w:r>
          </w:p>
        </w:tc>
        <w:tc>
          <w:tcPr>
            <w:tcW w:type="dxa" w:w="2448"/>
            <w:vAlign w:val="center"/>
            <w:shd w:fill="DDE8E4"/>
          </w:tcPr>
          <w:p>
            <w:pPr>
              <w:spacing w:after="20" w:line="240" w:lineRule="auto"/>
            </w:pPr>
            <w:r>
              <w:rPr>
                <w:b/>
                <w:sz w:val="17"/>
                <w:rFonts w:eastAsia="SimSun"/>
              </w:rPr>
              <w:t>Change in the staging copy</w:t>
            </w:r>
          </w:p>
        </w:tc>
        <w:tc>
          <w:tcPr>
            <w:tcW w:type="dxa" w:w="2448"/>
            <w:vAlign w:val="center"/>
            <w:shd w:fill="DDE8E4"/>
          </w:tcPr>
          <w:p>
            <w:pPr>
              <w:spacing w:after="20" w:line="240" w:lineRule="auto"/>
            </w:pPr>
            <w:r>
              <w:rPr>
                <w:b/>
                <w:sz w:val="17"/>
                <w:rFonts w:eastAsia="SimSun"/>
              </w:rPr>
              <w:t>Control</w:t>
            </w:r>
          </w:p>
        </w:tc>
        <w:tc>
          <w:tcPr>
            <w:tcW w:type="dxa" w:w="2448"/>
            <w:vAlign w:val="center"/>
            <w:shd w:fill="DDE8E4"/>
          </w:tcPr>
          <w:p>
            <w:pPr>
              <w:spacing w:after="20" w:line="240" w:lineRule="auto"/>
            </w:pPr>
            <w:r>
              <w:rPr>
                <w:b/>
                <w:sz w:val="17"/>
                <w:rFonts w:eastAsia="SimSun"/>
              </w:rPr>
              <w:t>Expected if the mechanism is load-bearing</w:t>
            </w:r>
          </w:p>
        </w:tc>
      </w:tr>
      <w:tr>
        <w:tc>
          <w:tcPr>
            <w:tcW w:type="dxa" w:w="2448"/>
            <w:vAlign w:val="center"/>
          </w:tcPr>
          <w:p>
            <w:pPr>
              <w:spacing w:after="20" w:line="240" w:lineRule="auto"/>
            </w:pPr>
            <w:r>
              <w:rPr>
                <w:sz w:val="17"/>
                <w:rFonts w:eastAsia="SimSun"/>
              </w:rPr>
              <w:t>no-identity</w:t>
            </w:r>
          </w:p>
        </w:tc>
        <w:tc>
          <w:tcPr>
            <w:tcW w:type="dxa" w:w="2448"/>
            <w:vAlign w:val="center"/>
          </w:tcPr>
          <w:p>
            <w:pPr>
              <w:spacing w:after="20" w:line="240" w:lineRule="auto"/>
            </w:pPr>
            <w:r>
              <w:rPr>
                <w:sz w:val="17"/>
                <w:rFonts w:eastAsia="SimSun"/>
              </w:rPr>
              <w:t>skip the sender-to-peer assertion in the AIP server</w:t>
            </w:r>
          </w:p>
        </w:tc>
        <w:tc>
          <w:tcPr>
            <w:tcW w:type="dxa" w:w="2448"/>
            <w:vAlign w:val="center"/>
          </w:tcPr>
          <w:p>
            <w:pPr>
              <w:spacing w:after="20" w:line="240" w:lineRule="auto"/>
            </w:pPr>
            <w:r>
              <w:rPr>
                <w:sz w:val="17"/>
                <w:rFonts w:eastAsia="SimSun"/>
              </w:rPr>
              <w:t>same copy with the flag off</w:t>
            </w:r>
          </w:p>
        </w:tc>
        <w:tc>
          <w:tcPr>
            <w:tcW w:type="dxa" w:w="2448"/>
            <w:vAlign w:val="center"/>
          </w:tcPr>
          <w:p>
            <w:pPr>
              <w:spacing w:after="20" w:line="240" w:lineRule="auto"/>
            </w:pPr>
            <w:r>
              <w:rPr>
                <w:sz w:val="17"/>
                <w:rFonts w:eastAsia="SimSun"/>
              </w:rPr>
              <w:t>mismatched identity is accepted</w:t>
            </w:r>
          </w:p>
        </w:tc>
      </w:tr>
      <w:tr>
        <w:tc>
          <w:tcPr>
            <w:tcW w:type="dxa" w:w="2448"/>
            <w:vAlign w:val="center"/>
          </w:tcPr>
          <w:p>
            <w:pPr>
              <w:spacing w:after="20" w:line="240" w:lineRule="auto"/>
            </w:pPr>
            <w:r>
              <w:rPr>
                <w:sz w:val="17"/>
                <w:rFonts w:eastAsia="SimSun"/>
              </w:rPr>
              <w:t>no-dedup</w:t>
            </w:r>
          </w:p>
        </w:tc>
        <w:tc>
          <w:tcPr>
            <w:tcW w:type="dxa" w:w="2448"/>
            <w:vAlign w:val="center"/>
          </w:tcPr>
          <w:p>
            <w:pPr>
              <w:spacing w:after="20" w:line="240" w:lineRule="auto"/>
            </w:pPr>
            <w:r>
              <w:rPr>
                <w:sz w:val="17"/>
                <w:rFonts w:eastAsia="SimSun"/>
              </w:rPr>
              <w:t>skip the event-level response lookup</w:t>
            </w:r>
          </w:p>
        </w:tc>
        <w:tc>
          <w:tcPr>
            <w:tcW w:type="dxa" w:w="2448"/>
            <w:vAlign w:val="center"/>
          </w:tcPr>
          <w:p>
            <w:pPr>
              <w:spacing w:after="20" w:line="240" w:lineRule="auto"/>
            </w:pPr>
            <w:r>
              <w:rPr>
                <w:sz w:val="17"/>
                <w:rFonts w:eastAsia="SimSun"/>
              </w:rPr>
              <w:t>same copy with the flag off</w:t>
            </w:r>
          </w:p>
        </w:tc>
        <w:tc>
          <w:tcPr>
            <w:tcW w:type="dxa" w:w="2448"/>
            <w:vAlign w:val="center"/>
          </w:tcPr>
          <w:p>
            <w:pPr>
              <w:spacing w:after="20" w:line="240" w:lineRule="auto"/>
            </w:pPr>
            <w:r>
              <w:rPr>
                <w:sz w:val="17"/>
                <w:rFonts w:eastAsia="SimSun"/>
              </w:rPr>
              <w:t>a redelivered event re-enters processing</w:t>
            </w:r>
          </w:p>
        </w:tc>
      </w:tr>
      <w:tr>
        <w:tc>
          <w:tcPr>
            <w:tcW w:type="dxa" w:w="2448"/>
            <w:vAlign w:val="center"/>
          </w:tcPr>
          <w:p>
            <w:pPr>
              <w:spacing w:after="20" w:line="240" w:lineRule="auto"/>
            </w:pPr>
            <w:r>
              <w:rPr>
                <w:sz w:val="17"/>
                <w:rFonts w:eastAsia="SimSun"/>
              </w:rPr>
              <w:t>no-isolation</w:t>
            </w:r>
          </w:p>
        </w:tc>
        <w:tc>
          <w:tcPr>
            <w:tcW w:type="dxa" w:w="2448"/>
            <w:vAlign w:val="center"/>
          </w:tcPr>
          <w:p>
            <w:pPr>
              <w:spacing w:after="20" w:line="240" w:lineRule="auto"/>
            </w:pPr>
            <w:r>
              <w:rPr>
                <w:sz w:val="17"/>
                <w:rFonts w:eastAsia="SimSun"/>
              </w:rPr>
              <w:t>collapse the caller/conversation key to one shared key</w:t>
            </w:r>
          </w:p>
        </w:tc>
        <w:tc>
          <w:tcPr>
            <w:tcW w:type="dxa" w:w="2448"/>
            <w:vAlign w:val="center"/>
          </w:tcPr>
          <w:p>
            <w:pPr>
              <w:spacing w:after="20" w:line="240" w:lineRule="auto"/>
            </w:pPr>
            <w:r>
              <w:rPr>
                <w:sz w:val="17"/>
                <w:rFonts w:eastAsia="SimSun"/>
              </w:rPr>
              <w:t>same copy with the flag off</w:t>
            </w:r>
          </w:p>
        </w:tc>
        <w:tc>
          <w:tcPr>
            <w:tcW w:type="dxa" w:w="2448"/>
            <w:vAlign w:val="center"/>
          </w:tcPr>
          <w:p>
            <w:pPr>
              <w:spacing w:after="20" w:line="240" w:lineRule="auto"/>
            </w:pPr>
            <w:r>
              <w:rPr>
                <w:sz w:val="17"/>
                <w:rFonts w:eastAsia="SimSun"/>
              </w:rPr>
              <w:t>a second caller reads the first caller's pending state</w:t>
            </w:r>
          </w:p>
        </w:tc>
      </w:tr>
    </w:tbl>
    <w:p>
      <w:pPr>
        <w:spacing w:after="20"/>
      </w:pPr>
    </w:p>
    <w:p>
      <w:r>
        <w:rPr>
          <w:rFonts w:eastAsia="SimSun"/>
        </w:rPr>
        <w:t>Table 4 lists the levers. Every arm runs the same requests as its control, so the contrast is paired, and a control built from the same staging copy separates the mechanism from the staging environment.</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mismatch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request content / trials). Each is reported for an ablation arm and for a control built from the same staging copy, and the two run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 zero count is reported with the one-sided bound $3/N$ rather than as an estimate: 0/30 bounds a rate at 10%, 0/50 at 6%, and 0/201 at 1.5%. The numbers therefore establish direction and mechanism attribution, not production rates.</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The artifact contains the request suites, per-sample routing and consent outcomes, the partner configuration, the ablation builds with their controls, the judgment suites with cached responses and per-item predictions, and reproduction commands.</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§9.5; the structured ranking was read once per request from the discovery service.</w:t>
      </w:r>
    </w:p>
    <w:p>
      <w:r>
        <w:rPr>
          <w:b/>
          <w:rFonts w:eastAsia="SimSun"/>
        </w:rPr>
        <w:t>Table 5.</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5 gives the per-class counts. The path recommended the generated target for 48, 48, and 50 of the 50 direct requests (96--100%) and never recommended a different study partner; the misses recommended only agents outside the study set.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6.</w:t>
      </w:r>
      <w:r>
        <w:rPr>
          <w:rFonts w:eastAsia="SimSun"/>
        </w:rPr>
        <w:t xml:space="preserve"> Ablation arms against same-code controls.</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6 contrasts each arm with its same-code control. In this set of paired staging trials the control and the live instance accepted none of the 30 mismatched identities, while removing the single sender-to-peer assertion admitted every one.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50/25/25 by stable task hash. At the endpoint's default effort about one reply in ten came back empty, and the same item at the same temperature received different answers under different budgets.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10 to 16 of the 280 replies did that,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7.</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7 gives the held-out metrics. Typed answers are more accurate, with about half the free-text Brier score, and accuracy, Brier, and calibration error separate beyond the run-to-run ranges; the keyword rule is a transparent reference point rather than a competitor. The coverage--risk curves across thresholds, and the same cells scored against the built rather than the adjudicated labels, are in the artifact. This suite carries only 3 injected J7 items in its held-out split, so that question is measured on a dedicated stress set.</w:t>
      </w:r>
    </w:p>
    <w:p>
      <w:r>
        <w:rPr>
          <w:rFonts w:eastAsia="SimSun"/>
        </w:rPr>
        <w:t>The stress set varies an explicit grid rather than a short phrase list: 8 steering families × 5 carriers × 5 authority frames gives 200 injected items, and 8 families × 4 carriers × 8 report forms gives 256 benign near-misses that quote, report, deny, explain, joke about, translate, or log the same phrases. Both classes carry the same harmless outer request, so they differ only in whether a steering instruction is present. The blind re-read disagreed with 64 of these 456 built labels and the adjudication changed 51 of them; its held-out split then carries 67 injected and 47 benign items. The three runs agree on 89.0% of typed answers and 91.1% of free-text answers.</w:t>
      </w:r>
    </w:p>
    <w:p>
      <w:r>
        <w:rPr>
          <w:b/>
          <w:rFonts w:eastAsia="SimSun"/>
        </w:rPr>
        <w:t>Table 8.</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8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the median is 0.48 ms for ingress rejection (n=100), 3.30 ms for the deduplication lookup (n=20), 5.88 ms for the identity check (n=30), and 7.36 ms for an accepted AIP round trip (n=30), against 7.2 s for a first delivery that includes generation (n=20).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Repository: </w:t>
      </w:r>
      <w:r>
        <w:rPr>
          <w:rFonts w:ascii="Consolas" w:hAnsi="Consolas" w:eastAsia="SimSun"/>
          <w:sz w:val="18"/>
        </w:rPr>
        <w:t>https://github.com/AIP-PUB/ACPs-community/tree/896e4bc</w:t>
      </w:r>
      <w:r>
        <w:rPr>
          <w:rFonts w:eastAsia="SimSun"/>
        </w:rPr>
        <w:t xml:space="preserve">; English homepage: </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"Prompt injection attacks and defenses in LLM-integrated applications,"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