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执行成越权调用。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保持为密码学与确定性的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一套可复现产物：模型生成的请求套件、逐条路由结果、带同代码对照的环境变量消融构建、已注册 Partner 的配置，以及可在别处重复该协议的实验装置。</w:t>
      </w:r>
    </w:p>
    <w:p>
      <w:r>
        <w:rPr>
          <w:rFonts w:eastAsia="SimSun"/>
        </w:rPr>
        <w:t>本文的证据分三类：架构、七个判断点与状态机属于设计；实机测量覆盖已部署入站上的发现与推荐、三项不变式消融，以及在已部署适配器上完成的同意门控与端到端执行（伙伴侧的副作用有记录）；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ACPs 并不只是一套给原型协议栈起的名字。Li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本身的行为，而不是某种私有替代方案。该仓库的英文版首页公开记录了本文所用的版本与模块划分 [1]。</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两类文献解释了外围策略为什么需要拒答与校准。选择性分类的工作形式化了覆盖率与风险之间的权衡，并说明预测器在置信度低时应当能够拒绝作答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给出七个模块与判断平面。每个模块都由它要阻止的那一类失败来定义。本研究实际检验的是 M2、M3、M6 以及 M5 中 AIP 层的校验；M4 不在路由主实验中测试，但在 §9.4 的单独同意实验中测试过；M7 负责投递并记录结果。</w:t>
      </w:r>
    </w:p>
    <w:p>
      <w:pPr>
        <w:pStyle w:val="Heading2"/>
      </w:pPr>
      <w:r>
        <w:rPr>
          <w:rFonts w:eastAsia="SimSun"/>
        </w:rPr>
        <w:t>4.1 模块 M1：入站认证与归一化</w:t>
      </w:r>
    </w:p>
    <w:p>
      <w:r>
        <w:rPr>
          <w:rFonts w:eastAsia="SimSun"/>
        </w:rPr>
        <w:t>M1 接收 iMessage/Photon 的 webhook，校验其 HMAC 或等价的传输真实性，验证事件结构，并生成归一化的内部事件。签名非法或事件格式错误的事件，都会在发现与执行之前就被终止。</w:t>
      </w:r>
    </w:p>
    <w:p>
      <w:pPr>
        <w:pStyle w:val="Heading2"/>
      </w:pPr>
      <w:r>
        <w:rPr>
          <w:rFonts w:eastAsia="SimSun"/>
        </w:rPr>
        <w:t>4.2 模块 M2：身份与会话隔离</w:t>
      </w:r>
    </w:p>
    <w:p>
      <w:r>
        <w:rPr>
          <w:rFonts w:eastAsia="SimSun"/>
        </w:rPr>
        <w:t>M2 由调用者标识与会话标识派生出一个稳定的内部上下文，并按这对标识对会话、任务上下文与出站回复做分区。进入遥测的标识都经过哈希或假名化处理。</w:t>
      </w:r>
    </w:p>
    <w:p>
      <w:pPr>
        <w:pStyle w:val="Heading2"/>
      </w:pPr>
      <w:r>
        <w:rPr>
          <w:rFonts w:eastAsia="SimSun"/>
        </w:rPr>
        <w:t>4.3 模块 M3：能力发现与路由</w:t>
      </w:r>
    </w:p>
    <w:p>
      <w:r>
        <w:rPr>
          <w:rFonts w:eastAsia="SimSun"/>
        </w:rPr>
        <w:t>M3 向发现组件索取候选智能体，并把返回结果整理成结构化的候选集；每个候选包含标识、能力描述、支持的操作与端点元数据。路由决策与最终的执行决策分开记录，以便测量发现质量。判断点 J1 与 J2 属于该模块。</w:t>
      </w:r>
    </w:p>
    <w:p>
      <w:pPr>
        <w:pStyle w:val="Heading2"/>
      </w:pPr>
      <w:r>
        <w:rPr>
          <w:rFonts w:eastAsia="SimSun"/>
        </w:rPr>
        <w:t>4.4 模块 M4：同意与策略控制</w:t>
      </w:r>
    </w:p>
    <w:p>
      <w:r>
        <w:rPr>
          <w:rFonts w:eastAsia="SimSun"/>
        </w:rPr>
        <w:t>M4 把候选或执行提案呈现给用户，要求用户先做出显式选择，再给出显式执行指令。仅有发现结果，并不构成调用外部智能体的授权。策略层决定哪些操作需要确认、置信度低到什么程度就改为询问用户，以及哪些失败属于终态。判断点 J3 与 J4 为这些阈值提供参数，而阈值本身写在代码里。</w:t>
      </w:r>
    </w:p>
    <w:p>
      <w:pPr>
        <w:pStyle w:val="Heading2"/>
      </w:pPr>
      <w:r>
        <w:rPr>
          <w:rFonts w:eastAsia="SimSun"/>
        </w:rPr>
        <w:t>4.5 模块 M5：身份绑定的协议执行</w:t>
      </w:r>
    </w:p>
    <w:p>
      <w:r>
        <w:rPr>
          <w:rFonts w:eastAsia="SimSun"/>
        </w:rPr>
        <w:t>M5 校验被选端点是否满足传输与路径策略，用 AIC 元数据核对所声明的智能体身份，建立双向 TLS，并执行 AIP v2.2 的任务生命周期；该生命周期用启动、进展（或获取）、完成与错误等状态表示。这个模块完全不接受模型判断。</w:t>
      </w:r>
    </w:p>
    <w:p>
      <w:pPr>
        <w:pStyle w:val="Heading2"/>
      </w:pPr>
      <w:r>
        <w:rPr>
          <w:rFonts w:eastAsia="SimSun"/>
        </w:rPr>
        <w:t>4.6 模块 M6：状态、去重与恢复</w:t>
      </w:r>
    </w:p>
    <w:p>
      <w:r>
        <w:rPr>
          <w:rFonts w:eastAsia="SimSun"/>
        </w:rPr>
        <w:t>M6 保存事件标识、任务状态、同意状态、协议标识、重试状态与投递状态。它按幂等键拒绝重放事件，跨协议阶段保留任务上下文，并对失败加以分类，使可恢复的失败能够在不破坏幂等的前提下重试。判断点 J5 与 J6 把该模块扩展到幂等键覆盖不到的方向：改写后的请求并不是同一个键，而失败类别也未必显式出现在响应里。</w:t>
      </w:r>
    </w:p>
    <w:p>
      <w:pPr>
        <w:pStyle w:val="Heading2"/>
      </w:pPr>
      <w:r>
        <w:rPr>
          <w:rFonts w:eastAsia="SimSun"/>
        </w:rPr>
        <w:t>4.7 模块 M7：投递与可观测性</w:t>
      </w:r>
    </w:p>
    <w:p>
      <w:r>
        <w:rPr>
          <w:rFonts w:eastAsia="SimSun"/>
        </w:rPr>
        <w:t>M7 把协议结果转换成发回原始会话的回复，并输出结构化遥测。遥测包含追踪与跨度标识、操作名、时间戳、状态、消息体积、重试次数、端点校验结果与失败类别，但不含消息正文、原始电话号码、凭据与私钥。M7 同时记录判断遥测：提出了哪个问题、返回的概率是多少、当时生效的阈值是多少、最终采取了什么动作。</w:t>
      </w:r>
    </w:p>
    <w:p>
      <w:pPr>
        <w:pStyle w:val="Heading2"/>
      </w:pPr>
      <w:r>
        <w:rPr>
          <w:rFonts w:eastAsia="SimSun"/>
        </w:rPr>
        <w:t>4.8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4.9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各处理结果汇入统一终点" title="图2：网关参考处理流程：各处理结果汇入统一终点"/>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图2：网关参考处理流程：各处理结果汇入统一终点</w:t>
      </w:r>
    </w:p>
    <w:p>
      <w:r>
        <w:rPr>
          <w:rFonts w:eastAsia="SimSun"/>
        </w:rPr>
        <w:t>图 2 展示网关层的参考处理流程，而非 AIP 协议状态机。拒绝、取消、缓存重放与执行结果汇入记录和事件结束；等待时保留上下文，新的用户回复重新经过入站认证。重试以可安全重放、有效同意和有限预算为前提。这些设计分支不表示部署实验已逐一验证所有路径。</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w:t>
      </w:r>
    </w:p>
    <w:p>
      <w:r>
        <w:rPr>
          <w:rFonts w:eastAsia="SimSun"/>
        </w:rPr>
        <w:t>两条设计规则来自上面这些评测文献。凡是证据可能缺失的地方，都必须提供「不匹配」或「转人工复核」选项，因为在封闭选项集上强制选择，会在该集合无法表示的输入上给出高置信度的错误答案 [7]。有序评分不得跨标尺比较，因为同一个数值位置在不同档位描述下含义并不相同。</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正面接纳了三种有文献记录的失败模式，而不是把它们当作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§9.5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b/>
          <w:rFonts w:eastAsia="SimSun"/>
        </w:rPr>
        <w:t>表 4。</w:t>
      </w:r>
      <w:r>
        <w:rPr>
          <w:rFonts w:eastAsia="SimSun"/>
        </w:rPr>
        <w:t xml:space="preserve"> 消融手段与其对照。</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消融臂</w:t>
            </w:r>
          </w:p>
        </w:tc>
        <w:tc>
          <w:tcPr>
            <w:tcW w:type="dxa" w:w="2448"/>
            <w:vAlign w:val="center"/>
            <w:shd w:fill="DDE8E4"/>
          </w:tcPr>
          <w:p>
            <w:pPr>
              <w:spacing w:after="20" w:line="240" w:lineRule="auto"/>
            </w:pPr>
            <w:r>
              <w:rPr>
                <w:b/>
                <w:sz w:val="17"/>
                <w:rFonts w:eastAsia="SimSun"/>
              </w:rPr>
              <w:t>staging 副本中的改动</w:t>
            </w:r>
          </w:p>
        </w:tc>
        <w:tc>
          <w:tcPr>
            <w:tcW w:type="dxa" w:w="2448"/>
            <w:vAlign w:val="center"/>
            <w:shd w:fill="DDE8E4"/>
          </w:tcPr>
          <w:p>
            <w:pPr>
              <w:spacing w:after="20" w:line="240" w:lineRule="auto"/>
            </w:pPr>
            <w:r>
              <w:rPr>
                <w:b/>
                <w:sz w:val="17"/>
                <w:rFonts w:eastAsia="SimSun"/>
              </w:rPr>
              <w:t>对照</w:t>
            </w:r>
          </w:p>
        </w:tc>
        <w:tc>
          <w:tcPr>
            <w:tcW w:type="dxa" w:w="2448"/>
            <w:vAlign w:val="center"/>
            <w:shd w:fill="DDE8E4"/>
          </w:tcPr>
          <w:p>
            <w:pPr>
              <w:spacing w:after="20" w:line="240" w:lineRule="auto"/>
            </w:pPr>
            <w:r>
              <w:rPr>
                <w:b/>
                <w:sz w:val="17"/>
                <w:rFonts w:eastAsia="SimSun"/>
              </w:rPr>
              <w:t>若该机制确实起作用，预期</w:t>
            </w:r>
          </w:p>
        </w:tc>
      </w:tr>
      <w:tr>
        <w:tc>
          <w:tcPr>
            <w:tcW w:type="dxa" w:w="2448"/>
            <w:vAlign w:val="center"/>
          </w:tcPr>
          <w:p>
            <w:pPr>
              <w:spacing w:after="20" w:line="240" w:lineRule="auto"/>
            </w:pPr>
            <w:r>
              <w:rPr>
                <w:sz w:val="17"/>
                <w:rFonts w:eastAsia="SimSun"/>
              </w:rPr>
              <w:t>no-identity</w:t>
            </w:r>
          </w:p>
        </w:tc>
        <w:tc>
          <w:tcPr>
            <w:tcW w:type="dxa" w:w="2448"/>
            <w:vAlign w:val="center"/>
          </w:tcPr>
          <w:p>
            <w:pPr>
              <w:spacing w:after="20" w:line="240" w:lineRule="auto"/>
            </w:pPr>
            <w:r>
              <w:rPr>
                <w:sz w:val="17"/>
                <w:rFonts w:eastAsia="SimSun"/>
              </w:rPr>
              <w:t>跳过 AIP 服务端的 sender-to-peer 断言</w:t>
            </w:r>
          </w:p>
        </w:tc>
        <w:tc>
          <w:tcPr>
            <w:tcW w:type="dxa" w:w="2448"/>
            <w:vAlign w:val="center"/>
          </w:tcPr>
          <w:p>
            <w:pPr>
              <w:spacing w:after="20" w:line="240" w:lineRule="auto"/>
            </w:pPr>
            <w:r>
              <w:rPr>
                <w:sz w:val="17"/>
                <w:rFonts w:eastAsia="SimSun"/>
              </w:rPr>
              <w:t>同一副本、关闭开关</w:t>
            </w:r>
          </w:p>
        </w:tc>
        <w:tc>
          <w:tcPr>
            <w:tcW w:type="dxa" w:w="2448"/>
            <w:vAlign w:val="center"/>
          </w:tcPr>
          <w:p>
            <w:pPr>
              <w:spacing w:after="20" w:line="240" w:lineRule="auto"/>
            </w:pPr>
            <w:r>
              <w:rPr>
                <w:sz w:val="17"/>
                <w:rFonts w:eastAsia="SimSun"/>
              </w:rPr>
              <w:t>身份不一致被接受</w:t>
            </w:r>
          </w:p>
        </w:tc>
      </w:tr>
      <w:tr>
        <w:tc>
          <w:tcPr>
            <w:tcW w:type="dxa" w:w="2448"/>
            <w:vAlign w:val="center"/>
          </w:tcPr>
          <w:p>
            <w:pPr>
              <w:spacing w:after="20" w:line="240" w:lineRule="auto"/>
            </w:pPr>
            <w:r>
              <w:rPr>
                <w:sz w:val="17"/>
                <w:rFonts w:eastAsia="SimSun"/>
              </w:rPr>
              <w:t>no-dedup</w:t>
            </w:r>
          </w:p>
        </w:tc>
        <w:tc>
          <w:tcPr>
            <w:tcW w:type="dxa" w:w="2448"/>
            <w:vAlign w:val="center"/>
          </w:tcPr>
          <w:p>
            <w:pPr>
              <w:spacing w:after="20" w:line="240" w:lineRule="auto"/>
            </w:pPr>
            <w:r>
              <w:rPr>
                <w:sz w:val="17"/>
                <w:rFonts w:eastAsia="SimSun"/>
              </w:rPr>
              <w:t>跳过事件级响应查找</w:t>
            </w:r>
          </w:p>
        </w:tc>
        <w:tc>
          <w:tcPr>
            <w:tcW w:type="dxa" w:w="2448"/>
            <w:vAlign w:val="center"/>
          </w:tcPr>
          <w:p>
            <w:pPr>
              <w:spacing w:after="20" w:line="240" w:lineRule="auto"/>
            </w:pPr>
            <w:r>
              <w:rPr>
                <w:sz w:val="17"/>
                <w:rFonts w:eastAsia="SimSun"/>
              </w:rPr>
              <w:t>同一副本、关闭开关</w:t>
            </w:r>
          </w:p>
        </w:tc>
        <w:tc>
          <w:tcPr>
            <w:tcW w:type="dxa" w:w="2448"/>
            <w:vAlign w:val="center"/>
          </w:tcPr>
          <w:p>
            <w:pPr>
              <w:spacing w:after="20" w:line="240" w:lineRule="auto"/>
            </w:pPr>
            <w:r>
              <w:rPr>
                <w:sz w:val="17"/>
                <w:rFonts w:eastAsia="SimSun"/>
              </w:rPr>
              <w:t>被重复投递的事件重新进入处理</w:t>
            </w:r>
          </w:p>
        </w:tc>
      </w:tr>
      <w:tr>
        <w:tc>
          <w:tcPr>
            <w:tcW w:type="dxa" w:w="2448"/>
            <w:vAlign w:val="center"/>
          </w:tcPr>
          <w:p>
            <w:pPr>
              <w:spacing w:after="20" w:line="240" w:lineRule="auto"/>
            </w:pPr>
            <w:r>
              <w:rPr>
                <w:sz w:val="17"/>
                <w:rFonts w:eastAsia="SimSun"/>
              </w:rPr>
              <w:t>no-isolation</w:t>
            </w:r>
          </w:p>
        </w:tc>
        <w:tc>
          <w:tcPr>
            <w:tcW w:type="dxa" w:w="2448"/>
            <w:vAlign w:val="center"/>
          </w:tcPr>
          <w:p>
            <w:pPr>
              <w:spacing w:after="20" w:line="240" w:lineRule="auto"/>
            </w:pPr>
            <w:r>
              <w:rPr>
                <w:sz w:val="17"/>
                <w:rFonts w:eastAsia="SimSun"/>
              </w:rPr>
              <w:t>把调用者/会话键折叠为单一共享键</w:t>
            </w:r>
          </w:p>
        </w:tc>
        <w:tc>
          <w:tcPr>
            <w:tcW w:type="dxa" w:w="2448"/>
            <w:vAlign w:val="center"/>
          </w:tcPr>
          <w:p>
            <w:pPr>
              <w:spacing w:after="20" w:line="240" w:lineRule="auto"/>
            </w:pPr>
            <w:r>
              <w:rPr>
                <w:sz w:val="17"/>
                <w:rFonts w:eastAsia="SimSun"/>
              </w:rPr>
              <w:t>同一副本、关闭开关</w:t>
            </w:r>
          </w:p>
        </w:tc>
        <w:tc>
          <w:tcPr>
            <w:tcW w:type="dxa" w:w="2448"/>
            <w:vAlign w:val="center"/>
          </w:tcPr>
          <w:p>
            <w:pPr>
              <w:spacing w:after="20" w:line="240" w:lineRule="auto"/>
            </w:pPr>
            <w:r>
              <w:rPr>
                <w:sz w:val="17"/>
                <w:rFonts w:eastAsia="SimSun"/>
              </w:rPr>
              <w:t>第二个调用者读到第一个调用者的待处理状态</w:t>
            </w:r>
          </w:p>
        </w:tc>
      </w:tr>
    </w:tbl>
    <w:p>
      <w:pPr>
        <w:spacing w:after="20"/>
      </w:pPr>
    </w:p>
    <w:p>
      <w:r>
        <w:rPr>
          <w:rFonts w:eastAsia="SimSun"/>
        </w:rPr>
        <w:t>表 4 列出这些手段。每支消融与其对照臂跑完全相同的请求，因此对比是配对的；对照臂由同一份 staging 副本构建，用来把机制本身与 staging 环境的差异分开。</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1.5%。本文样本量较小，因此这些数字确定的是方向与机制归因，而不是生产率。</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已发布的产物包含请求套件、逐条路由与同意结果、已注册 Partner 的配置、带同代码对照的消融构建、各判断套件及其缓存响应与逐条预测，以及复现命令。凭据、消息正文、电话号码、证书与令牌都不会进入产物。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§9.5 的按行规则从回复中读取，结构化排名则对每条请求只读取一次。</w:t>
      </w:r>
    </w:p>
    <w:p>
      <w:r>
        <w:rPr>
          <w:b/>
          <w:rFonts w:eastAsia="SimSun"/>
        </w:rPr>
        <w:t>表 5。</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5 给出各类的计数。三次投递中，已部署路径在 50 条 direct 请求里分别推荐了目标 Partner 48、48、50 条（96%--100%），且从未推荐过另一个受测 Partner：两次未命中时推荐的都只是研究集合之外的智能体。组合接近饱和：对同时符合两个能力的请求，路径在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6。</w:t>
      </w:r>
      <w:r>
        <w:rPr>
          <w:rFonts w:eastAsia="SimSun"/>
        </w:rPr>
        <w:t xml:space="preserve"> 消融臂与同代码对照。</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6 把每支消融与它同一份代码的对照臂并列。在这组配对 staging 试验里，对照臂与线上实例都没有接受任何一次身份不一致，而移除这一行 sender-to-peer 断言之后全部被接受。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条，按任务标识的稳定哈希划分为训练、开发与留出三部分，比例为 50/25/25。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7。</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7 给出留出集上的指标。类型化形态更准确，Brier 约为自由文本的一半；准确率、Brier 与校准误差上的差距都超出运行之间的波动，而关键词规则只是一个透明的参照，并不是竞争方案。跨阈值的覆盖率–风险曲线，以及同样几行改用构造标签（而非裁定标签）计分的结果，都在产物中。该套件的留出划分里只有 3 条 J7 注入项，不足以给出注入率的上界，因此这个问题改由一套专门的注入压力集测量。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8。</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8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爱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560 条标签的独立模型复核（复核者既看不到构造标签，也看不到被测模型的预测）发现 5.9% 存在分歧，集中在澄清判断 J3（40 条中有 10 条被质疑）与 J7 的「提及还是指令」边界上，而候选选择与同意这两个判断点没有分歧；第三遍仲裁在 52 条争议中，19 条维持构造标签、18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MCP, ACP, A2A, and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Systems，arXiv:2512.08296，2026。</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等，Prompt injection attacks and defenses in LLM-integrated applications，第 33 届 USENIX 安全研讨会，2024。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