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ACPs 并不只是一套给原型协议栈起的名字。Li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本身的行为，而不是某种私有替代方案。该仓库的英文版首页公开记录了本文所用的版本与模块划分 [1]。</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的严重度分量。多个问题可以在一次请求中共享同一份状态，这有利于成本与时延，但每个答案都独立评估、独立设阈。证据可能缺失时，必须提供复核或不匹配选项；有序评分不跨不同标尺比较 [7]。</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736 条标签的独立模型复核（复核者既看不到构造标签，也看不到被测模型的预测）发现 80 条（10.9%）给出了不同的确定标签、19 条（2.6%）为不确定，分歧集中在澄清判断 J3（40 条中有 10 条被质疑）与 J7 的「提及还是指令」边界上，而候选选择与同意这两个判断点没有分歧；这 99 条争议全部送交第三遍仲裁，其中 24 条维持构造标签、60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MCP, ACP, A2A, and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中文初稿 | 仅为仿真器试点</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