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identity and session isolation, discovery and routing, consent, identity-bound execution, state and idempotency,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and record a consent-gated invocation and its partner-side effect.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half to two-thirds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A published artifact: the request suites, per-sample routing outcomes, ablation builds with same-code controls, the partner configuration, and the harness that repeats the protocol.</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[16]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framework for onboarding, discovery, collaboration, and instrumentation in an Internet of Agents [14], and the open-source Leader and Partner processes used here implement those behaviors [1].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[20].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[15],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[24] and ToolEmu [17]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[19] attaches privilege constraints to individual tool calls, AgentSpec [21] and GuardAgent [23] compile and check runtime rules, and IsolateGPT [22]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[18];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 The study exercises M2, M3 and M6 and the AIP-layer checks of M5; M4 is outside the routing study but is tested in the separate consent experiment of §9.4, and M7 delivers and records results.</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with a shared handling endpoint" title="Fig. 2. Reference gateway processing flow with a shared handling endpoint"/>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 with a shared handling endpoint</w:t>
      </w:r>
    </w:p>
    <w:p>
      <w:r>
        <w:rPr>
          <w:rFonts w:eastAsia="SimSun"/>
        </w:rPr>
        <w:t>Figure 2 depicts the reference gateway processing flow, rather than the AIP protocol state machine. Rejections, cancellation, cached replay, and execution outcomes converge on recording and event completion; waiting preserves context, and a new user reply re-enters authenticated ingress. Retry requires replay safety, valid consent, and a finite budget. These design branches do not imply that every branch was exercised in the deployment study.</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Each answer is evaluated and thresholded independently. A review or no-match option is required where evidence can be missing, and ordinal scores are not compared across different rubrics [7].</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keeps a key-based result with a warning, or surfaces a terminal failure according to the point.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(§9.6), and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Throughput is out of scope here;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 the numbers establish direction and mechanism attribution, not production rates.</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The artifact contains the request suites, per-sample routing and consent outcomes, the advisory judgment log, the ablation builds with their controls, the judgment suites with cached responses and per-item predictions, and reproduction commands.</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§9.6;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Intervals are wide at this sample size, as the declared convention implies: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For requests no study partner advertises the path never recommended a study partner, in any run, but it did recommend a public-registry agent in all 40 and the underlying index returned at least one candidate for 36 of 40, so the deployed path does not abstain; it presents the best available agents and leaves acceptance to the user.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2000-token budget) answered a 280-item suite split 50/25/25 by stable task hash; at the endpoint's default effort about one reply in ten came back empty. Labels were built from a latent variable, re-read blind by the same model with only the text, question, and options, and adjudicated on the 99 disagreements or uncertain items (60 changed, 15 unresolved); the full set was then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10 to 16 of the 280 did and no typed reply did. Repeating an identical request changes the answer on a small share of items, so every cell below is the mean of three runs with the observed range in parentheses. Pairwise answer agreement between runs is 94.5% for typed answers and 90.5%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92.5% (91.9--93.5)</w:t>
            </w:r>
          </w:p>
        </w:tc>
        <w:tc>
          <w:tcPr>
            <w:tcW w:type="dxa" w:w="2448"/>
            <w:vAlign w:val="center"/>
          </w:tcPr>
          <w:p>
            <w:pPr>
              <w:spacing w:after="20" w:line="240" w:lineRule="auto"/>
            </w:pPr>
            <w:r>
              <w:rPr>
                <w:sz w:val="17"/>
                <w:rFonts w:eastAsia="SimSun"/>
              </w:rPr>
              <w:t>0.132 (0.116--0.146)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(79.0--90.3)</w:t>
            </w:r>
          </w:p>
        </w:tc>
        <w:tc>
          <w:tcPr>
            <w:tcW w:type="dxa" w:w="2448"/>
            <w:vAlign w:val="center"/>
          </w:tcPr>
          <w:p>
            <w:pPr>
              <w:spacing w:after="20" w:line="240" w:lineRule="auto"/>
            </w:pPr>
            <w:r>
              <w:rPr>
                <w:sz w:val="17"/>
                <w:rFonts w:eastAsia="SimSun"/>
              </w:rPr>
              <w:t>0.251 (0.160--0.302)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half the free-text Brier score, and accuracy, Brier, and calibration error separate beyond the run-to-run ranges; the keyword rule is a transparent reference point rather than a competitor.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89.0% of typed and 91.1%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56.7% (48.5--64.6)</w:t>
            </w:r>
          </w:p>
        </w:tc>
        <w:tc>
          <w:tcPr>
            <w:tcW w:type="dxa" w:w="2448"/>
            <w:vAlign w:val="center"/>
          </w:tcPr>
          <w:p>
            <w:pPr>
              <w:spacing w:after="20" w:line="240" w:lineRule="auto"/>
            </w:pPr>
            <w:r>
              <w:rPr>
                <w:sz w:val="17"/>
                <w:rFonts w:eastAsia="SimSun"/>
              </w:rPr>
              <w:t>76.6% (73.7--79.8)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63.1% (54.9--70.6)</w:t>
            </w:r>
          </w:p>
        </w:tc>
        <w:tc>
          <w:tcPr>
            <w:tcW w:type="dxa" w:w="2448"/>
            <w:vAlign w:val="center"/>
          </w:tcPr>
          <w:p>
            <w:pPr>
              <w:spacing w:after="20" w:line="240" w:lineRule="auto"/>
            </w:pPr>
            <w:r>
              <w:rPr>
                <w:sz w:val="17"/>
                <w:rFonts w:eastAsia="SimSun"/>
              </w:rPr>
              <w:t>74.0% (72.8--75.4)</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56.7% of benign near-misses as attempts, free text 63.1%,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 xml:space="preserve">The routing study never invoked a partner; the consent form is what does. The adapter requires an explicit selection, and its outbound client verified the host name while an ACPs partner certificate carries its identity as an </w:t>
      </w:r>
      <w:r>
        <w:rPr>
          <w:rFonts w:ascii="Consolas" w:hAnsi="Consolas" w:eastAsia="SimSun"/>
          <w:sz w:val="18"/>
        </w:rPr>
        <w:t>acps://</w:t>
      </w:r>
      <w:r>
        <w:rPr>
          <w:rFonts w:eastAsia="SimSun"/>
        </w:rPr>
        <w:t xml:space="preserve"> URI SAN, so every attempt failed with </w:t>
      </w:r>
      <w:r>
        <w:rPr>
          <w:rFonts w:ascii="Consolas" w:hAnsi="Consolas" w:eastAsia="SimSun"/>
          <w:sz w:val="18"/>
        </w:rPr>
        <w:t>certificate is not valid for &lt;ip&gt;</w:t>
      </w:r>
      <w:r>
        <w:rPr>
          <w:rFonts w:eastAsia="SimSun"/>
        </w:rPr>
        <w:t>. Keeping chain verification and the AIC binding and dropping host-name verification on the deployed adapter makes the path work. 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 A URI-SAN identity model and host-name transport verification must be aligned.</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and the paraphrases were written by the same pinned model, so the separation bounds what human paraphrases would give.</w:t>
      </w:r>
    </w:p>
    <w:p>
      <w:pPr>
        <w:pStyle w:val="Heading2"/>
      </w:pPr>
      <w:r>
        <w:rPr>
          <w:rFonts w:eastAsia="SimSun"/>
        </w:rPr>
        <w:t>9.6 Limitations and scope</w:t>
      </w:r>
    </w:p>
    <w:p>
      <w:r>
        <w:rPr>
          <w:rFonts w:eastAsia="SimSun"/>
        </w:rPr>
        <w:t>Every result here comes from one deployment with one registry and one capability set. Selection is read from the assistant's reply, because the adapter exposes no structured decision record: the read is line-scoped, so a name counts only when it leads a bullet in the recommendation section, which excludes names that appear only in the recall statistics or the candidate list; selection is also cross-checked against the discovery ranking. The ablation arms are staging copies of the deployed code with one environment-gated change each, paired with a control built from the same copy; the consent and effect experiment runs on the deployed adapter. The endpoint is not deterministic, so the routing samples and each judgment suite were run three times. The judgment layer is measured on one hosted model, so it supports an answer-shape comparison on this suite. The final label set was verified by human review. The injection stress set is built from templates, so its phrasing is more regular than real traffic; all inputs are synthetic or model-generated and identifiers are pseudonymized.</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MCP, ACP, A2A, and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Indirect prompt injection in LLM-integrated applications,"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2026.</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 xml:space="preserve">Y. Liu et al., "Prompt injection attacks and defenses in LLM-integrated applications,"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Format restrictions and LLM performance,"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