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执行成越权调用。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保持为密码学与确定性的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一套可复现产物：模型生成的请求套件、逐条路由结果、带同代码对照的环境变量消融构建、已注册 Partner 的配置，以及可在别处重复该协议的实验装置。</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ACPs 并不只是一套给原型协议栈起的名字。Li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本身的行为，而不是某种私有替代方案。该仓库的英文版首页公开记录了本文所用的版本与模块划分 [1]。</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两类文献解释了外围策略为什么需要拒答与校准。选择性分类的工作形式化了覆盖率与风险之间的权衡，并说明预测器在置信度低时应当能够拒绝作答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给出七个模块与判断平面。每个模块都由它要阻止的那一类失败来定义。本研究实际检验的是 M2、M3、M6 以及 M5 中 AIP 层的校验；M4 不在路由主实验中测试，但在 §9.4 的单独同意实验中测试过；M7 负责投递并记录结果。</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各处理结果汇入统一终点" title="图2：网关参考处理流程：各处理结果汇入统一终点"/>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图2：网关参考处理流程：各处理结果汇入统一终点</w:t>
      </w:r>
    </w:p>
    <w:p>
      <w:r>
        <w:rPr>
          <w:rFonts w:eastAsia="SimSun"/>
        </w:rPr>
        <w:t>图 2 展示网关层的参考处理流程，而非 AIP 协议状态机。拒绝、取消、缓存重放与执行结果汇入记录和事件结束；等待时保留上下文，新的用户回复重新经过入站认证。重试以可安全重放、有效同意和有限预算为前提。这些设计分支不表示部署实验已逐一验证所有路径。</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w:t>
      </w:r>
    </w:p>
    <w:p>
      <w:r>
        <w:rPr>
          <w:rFonts w:eastAsia="SimSun"/>
        </w:rPr>
        <w:t>两条设计规则来自上面这些评测文献。凡是证据可能缺失的地方，都必须提供「不匹配」或「转人工复核」选项，因为在封闭选项集上强制选择，会在该集合无法表示的输入上给出高置信度的错误答案 [7]。有序评分不得跨标尺比较，因为同一个数值位置在不同档位描述下含义并不相同。</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正面接纳了三种有文献记录的失败模式，而不是把它们当作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1.5%。本文样本量较小，因此这些数字确定的是方向与机制归因，而不是生产率。</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已发布的产物包含请求套件、逐条路由与同意结果、顾问模式下的判断日志、已注册 Partner 的配置、带同代码对照的消融构建、各判断套件及其缓存响应与逐条预测，以及复现命令。凭据、消息正文、电话号码、证书与令牌都不会进入产物。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Partner：两次未命中时推荐的都只是研究集合之外的智能体。按声明的统计约定，这个样本量下的区间相当宽：48/50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条，按任务标识的稳定哈希划分为训练、开发与留出三部分，比例为 50/25/25。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并不是竞争方案。跨阈值的覆盖率–风险曲线，以及同样几行改用构造标签（而非裁定标签）计分的结果，都在产物中。该套件的留出划分里只有 3 条 J7 注入项，不足以给出注入率的上界，因此这个问题改由一套专门的注入压力集测量。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爱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s），比网关自身的操作高出三个数量级，但仍然只占一次以模型生成为主的投递的小部分。复述由与判断同一个固定模型生成，因此这一分离度是"人工复述能达到什么水平"的上界。</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560 条标签的独立模型复核（复核者既看不到构造标签，也看不到被测模型的预测）发现 5.9% 存在分歧，集中在澄清判断 J3（40 条中有 10 条被质疑）与 J7 的「提及还是指令」边界上，而候选选择与同意这两个判断点没有分歧；第三遍仲裁在 52 条争议中，19 条维持构造标签、18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等，Prompt injection attacks and defenses in LLM-integrated applications，第 33 届 USENIX 安全研讨会，2024。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