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[17]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protocol suite for the Internet of Agents: registration (ARP), discovery (ADP), interaction (AIP), and tooling (ATP), extended by protocols for authenticated access and accounting and for agent management, and positioned against MCP's focus on tool invocation, A2A's on enterprise connectivity, and ANP's lack of access authentication and management [14, 15]. The open-source Leader and Partner processes used here implement those behaviors [1], and the suite's own roadmap leaves security mechanisms and multi-vendor validation to future work [15].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[21].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[16],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[25] and ToolEmu [18]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[20] attaches privilege constraints to individual tool calls, AgentSpec [22] and GuardAgent [24] compile and check runtime rules, and IsolateGPT [23]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[19];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so its phrasing is more regular than real traffic; all inputs are synthetic or model-generated, identifiers are pseudonymized, no outbound message is delivered, and no real user message body is used as a benchmark input or example.</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J. Liu et al., "ACPs: Agent collaboration protocols for the Internet of Agents," arXiv:2505.13523, 2025.</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