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1B365D"/>
          <w:sz w:val="42"/>
        </w:rPr>
        <w:t>WEEK 4 TECHNICAL REPORT: MACHINE LEARNING MODEL DEVELOPMENT &amp; EVALUATION</w:t>
      </w:r>
    </w:p>
    <w:p>
      <w:pPr>
        <w:spacing w:after="240"/>
      </w:pPr>
      <w:r>
        <w:rPr>
          <w:rFonts w:ascii="Calibri" w:hAnsi="Calibri"/>
          <w:i/>
          <w:color w:val="465F82"/>
          <w:sz w:val="26"/>
        </w:rPr>
        <w:t>End-to-End Predictive Modeling for Customer Churn: A Comparative Study of Parametric, Non-Linear Tree, and Ensemble Architectures in Python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31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Internship Domain / Track:</w:t>
            </w:r>
          </w:p>
        </w:tc>
        <w:tc>
          <w:tcPr>
            <w:tcW w:type="dxa" w:w="6048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Machine Learning &amp; Advanced Predictive Analytics (Week 4 Milestone)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Core ML Frameworks:</w:t>
            </w:r>
          </w:p>
        </w:tc>
        <w:tc>
          <w:tcPr>
            <w:tcW w:type="dxa" w:w="6048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Scikit-Learn (Pipelines, ColumnTransformer, Model Evaluation, Cross-Validation)</w:t>
            </w:r>
          </w:p>
        </w:tc>
      </w:tr>
      <w:tr>
        <w:tc>
          <w:tcPr>
            <w:tcW w:type="dxa" w:w="331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Workload Allocation:</w:t>
            </w:r>
          </w:p>
        </w:tc>
        <w:tc>
          <w:tcPr>
            <w:tcW w:type="dxa" w:w="6048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Adherent to 30-35 Hours Professional Engineering Workload Standard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Models Evaluated:</w:t>
            </w:r>
          </w:p>
        </w:tc>
        <w:tc>
          <w:tcPr>
            <w:tcW w:type="dxa" w:w="6048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Logistic Regression (L2), Decision Tree Classifier (Pruned), Random Forest Ensemble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33"/>
        </w:rPr>
        <w:t>Executive Summary</w:t>
      </w:r>
    </w:p>
    <w:p>
      <w:pPr>
        <w:spacing w:after="100" w:line="276" w:lineRule="auto"/>
      </w:pPr>
      <w:r>
        <w:rPr>
          <w:rFonts w:ascii="Calibri" w:hAnsi="Calibri"/>
          <w:i w:val="0"/>
          <w:color w:val="282828"/>
          <w:sz w:val="21"/>
        </w:rPr>
        <w:t>Customer churn represents one of the most critical operational risks for subscription, telecommunications, and SaaS businesses. This project presents an end-to-end machine learning engineering workflow developed in Python to construct, benchmark, and critically evaluate predictive classification algorithms on a multi-feature dataset of N = 3,500 customer accounts. The primary objective is to accurately identify at-risk customers before contract cancellation, enabling cost-effective, targeted retention campaigns.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EXECUTIVE HIGHLIGHTS: </w:t>
            </w:r>
            <w:r>
              <w:rPr>
                <w:rFonts w:ascii="Calibri" w:hAnsi="Calibri"/>
                <w:color w:val="323232"/>
                <w:sz w:val="20"/>
              </w:rPr>
              <w:t>Core Technical Findings: (1) Logistic Regression achieved the highest overall discriminatory capability and probability calibration on the holdout test set (ROC-AUC = 0.864, PR-AUC = 0.546, Accuracy = 86.57%, F1 = 0.420), providing superior odds-ratio interpretability; (2) Random Forest demonstrated exceptional specificity (97.97%) and solid generalization (ROC-AUC = 0.845); (3) Unpruned Decision Trees suffered severe overfitting (training F1 ~ 1.00 vs validation F1 ~ 0.25), whereas cost-complexity depth pruning restored model stability; and (4) Empirical learning curves established that tenure, contract type (Month-to-Month vs Multi-year), and fiber-optic internet charges are the primary drivers of subscriber defection.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33"/>
        </w:rPr>
        <w:t>1. Business Problem Definition &amp; Theoretical Foundations</w:t>
      </w:r>
    </w:p>
    <w:p>
      <w:pPr>
        <w:spacing w:after="100" w:line="276" w:lineRule="auto"/>
      </w:pPr>
      <w:r>
        <w:rPr>
          <w:rFonts w:ascii="Calibri" w:hAnsi="Calibri"/>
          <w:i w:val="0"/>
          <w:color w:val="282828"/>
          <w:sz w:val="21"/>
        </w:rPr>
        <w:t>In modern digital and subscription economies, customer acquisition costs (CAC) typically exceed customer retention costs by a factor of 5 to 7. Unplanned subscriber defection drains recurring revenue and depresses customer lifetime value (LTV). Consequently, building an early-warning supervised classification model allows customer success teams to initiate preemptive retention interventions (e.g., proactive customer support, contract incentives, or discounted upgrades).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Problem Formulation: </w:t>
      </w:r>
      <w:r>
        <w:rPr>
          <w:rFonts w:ascii="Calibri" w:hAnsi="Calibri"/>
          <w:i w:val="0"/>
          <w:color w:val="282828"/>
          <w:sz w:val="21"/>
        </w:rPr>
        <w:t>The problem is framed as a supervised binary classification task where the target variable y in {0, 1} represents customer status: y = 0 denotes a retained subscriber, while y = 1 denotes a churned subscriber. Three distinct algorithm families representing different inductive biases and structural complexity were selected for comparative evaluation: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Algorithm 1 (Logistic Regression): </w:t>
      </w:r>
      <w:r>
        <w:rPr>
          <w:rFonts w:ascii="Calibri" w:hAnsi="Calibri"/>
          <w:i w:val="0"/>
          <w:color w:val="282828"/>
          <w:sz w:val="21"/>
        </w:rPr>
        <w:t>1. Logistic Regression (Parametric Linear Baseline): Models the posterior probability P(y = 1 | x) using the sigmoid logistic link function sigma(z) = 1 / (1 + exp(-z)), where z = beta_0 + sum(beta_j * x_j). Parameters are estimated via maximum likelihood estimation minimizing the binary cross-entropy loss with an L2 Ridge regularization penalty (1 / (2C) * ||beta||^2) to constrain coefficient magnitude and prevent multicollinearity.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Algorithm 2 (Decision Tree): </w:t>
      </w:r>
      <w:r>
        <w:rPr>
          <w:rFonts w:ascii="Calibri" w:hAnsi="Calibri"/>
          <w:i w:val="0"/>
          <w:color w:val="282828"/>
          <w:sz w:val="21"/>
        </w:rPr>
        <w:t>2. Decision Tree Classifier (Non-Linear Rule Induction): Employs recursive binary splitting (CART algorithm) to partition the feature space into homogeneous rectangular decision regions. Splits are chosen by maximizing the reduction in Gini Impurity: I_G(t) = 1 - sum(p_i^2). While highly interpretable, unconstrained trees are notorious for high variance (overfitting); hence pre-pruning constraints (max_depth = 5, min_samples_split = 20, min_samples_leaf = 10) were imposed.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Algorithm 3 (Random Forest): </w:t>
      </w:r>
      <w:r>
        <w:rPr>
          <w:rFonts w:ascii="Calibri" w:hAnsi="Calibri"/>
          <w:i w:val="0"/>
          <w:color w:val="282828"/>
          <w:sz w:val="21"/>
        </w:rPr>
        <w:t>3. Random Forest Classifier (Ensemble Bagging Architecture): Combines an ensemble of B = 150 de-correlated decision trees constructed via bootstrap aggregation (bagging). Each split is restricted to a random feature subspace (sqrt(p)), reducing correlation between individual trees and dramatically lowering prediction variance while preserving low bias.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33"/>
        </w:rPr>
        <w:t>2. Dataset Architecture &amp; Exploratory Data Analysis (EDA)</w:t>
      </w:r>
    </w:p>
    <w:p>
      <w:pPr>
        <w:spacing w:after="100" w:line="276" w:lineRule="auto"/>
      </w:pPr>
      <w:r>
        <w:rPr>
          <w:rFonts w:ascii="Calibri" w:hAnsi="Calibri"/>
          <w:i w:val="0"/>
          <w:color w:val="282828"/>
          <w:sz w:val="21"/>
        </w:rPr>
        <w:t>The investigation was conducted on a curated experimental dataset comprising N = 3,500 unique customer accounts. The dataset features 2,955 retained subscribers (Class 0, 84.43%) and 545 churned subscribers (Class 1, 15.57%), reflecting the moderate class imbalance characteristic of real-world enterprise subscription systems.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4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Total Dataset Volume (N):</w:t>
            </w:r>
          </w:p>
        </w:tc>
        <w:tc>
          <w:tcPr>
            <w:tcW w:type="dxa" w:w="5904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3,500 customer accounts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Target Class Balance:</w:t>
            </w:r>
          </w:p>
        </w:tc>
        <w:tc>
          <w:tcPr>
            <w:tcW w:type="dxa" w:w="5904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Retained: 2,955 (84.4%) | Churned: 545 (15.6%)</w:t>
            </w:r>
          </w:p>
        </w:tc>
      </w:tr>
      <w:tr>
        <w:tc>
          <w:tcPr>
            <w:tcW w:type="dxa" w:w="34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Customer Account Tenure:</w:t>
            </w:r>
          </w:p>
        </w:tc>
        <w:tc>
          <w:tcPr>
            <w:tcW w:type="dxa" w:w="5904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Mean = 35.2 mos | Median = 35.0 mos | SD = 21.6 mos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Monthly Subscription Charges:</w:t>
            </w:r>
          </w:p>
        </w:tc>
        <w:tc>
          <w:tcPr>
            <w:tcW w:type="dxa" w:w="5904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Mean = $59.76 | Median = $63.53 | SD = $22.60</w:t>
            </w:r>
          </w:p>
        </w:tc>
      </w:tr>
      <w:tr>
        <w:tc>
          <w:tcPr>
            <w:tcW w:type="dxa" w:w="34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Cumulative Total Charges:</w:t>
            </w:r>
          </w:p>
        </w:tc>
        <w:tc>
          <w:tcPr>
            <w:tcW w:type="dxa" w:w="5904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Mean = $2106.45 | Median = $1707.97 | SD = $1597.62</w:t>
            </w:r>
          </w:p>
        </w:tc>
      </w:tr>
      <w:tr>
        <w:tc>
          <w:tcPr>
            <w:tcW w:type="dxa" w:w="3456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Empirical Churn by Contract Type:</w:t>
            </w:r>
          </w:p>
        </w:tc>
        <w:tc>
          <w:tcPr>
            <w:tcW w:type="dxa" w:w="5904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Month-to-Month: 29.6% | One-Year: 7.6% | Two-Year: 2.0%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54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da_and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b/>
          <w:color w:val="1B365D"/>
          <w:sz w:val="19"/>
        </w:rPr>
        <w:t xml:space="preserve">Figure 1: </w:t>
      </w:r>
      <w:r>
        <w:rPr>
          <w:rFonts w:ascii="Calibri" w:hAnsi="Calibri"/>
          <w:i/>
          <w:color w:val="505050"/>
          <w:sz w:val="19"/>
        </w:rPr>
        <w:t>Exploratory Data Analysis: (Top-left) Target class distribution demonstrating a 15.6% churn rate; (Top-right) Churn rates by contract commitment, illustrating the extreme defection risk of month-to-month contracts (29.6%); (Bottom-left) Tenure vs. Monthly Charges scatterplot; (Bottom-right) Numerical feature correlation heatmap highlighting the negative correlation between tenure and churn.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33"/>
        </w:rPr>
        <w:t>3. Data Preprocessing &amp; Pipeline Architecture</w:t>
      </w:r>
    </w:p>
    <w:p>
      <w:pPr>
        <w:spacing w:after="100" w:line="276" w:lineRule="auto"/>
      </w:pPr>
      <w:r>
        <w:rPr>
          <w:rFonts w:ascii="Calibri" w:hAnsi="Calibri"/>
          <w:i w:val="0"/>
          <w:color w:val="282828"/>
          <w:sz w:val="21"/>
        </w:rPr>
        <w:t>A rigorous, leak-free preprocessing pipeline was constructed using Scikit-Learn's `ColumnTransformer` and `Pipeline` objects. To prevent data leakage—wherein statistics from the testing distribution inadvertently contaminate the training phase—all transformers were fitted exclusively on the training partition and subsequently applied to transform the test partition.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Partitioning: </w:t>
      </w:r>
      <w:r>
        <w:rPr>
          <w:rFonts w:ascii="Calibri" w:hAnsi="Calibri"/>
          <w:i w:val="0"/>
          <w:color w:val="282828"/>
          <w:sz w:val="21"/>
        </w:rPr>
        <w:t>1. Stratified Partitioning: The dataset was partitioned into an 80% training set (N_train = 2,800) and a 20% holdout test set (N_test = 700). Stratification on the target vector ensured that the 15.57% minority churn proportion was identically preserved across both subsets.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Feature Scaling: </w:t>
      </w:r>
      <w:r>
        <w:rPr>
          <w:rFonts w:ascii="Calibri" w:hAnsi="Calibri"/>
          <w:i w:val="0"/>
          <w:color w:val="282828"/>
          <w:sz w:val="21"/>
        </w:rPr>
        <w:t>2. Numerical Standardization: Continuous numerical features (tenure_months, monthly_charges, total_charges, customer_service_calls) were scaled using StandardScaler to have zero mean and unit variance (z = (x - mu) / sigma). This is essential for gradient descent convergence and regularization fairness in Logistic Regression.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Encoding: </w:t>
      </w:r>
      <w:r>
        <w:rPr>
          <w:rFonts w:ascii="Calibri" w:hAnsi="Calibri"/>
          <w:i w:val="0"/>
          <w:color w:val="282828"/>
          <w:sz w:val="21"/>
        </w:rPr>
        <w:t>3. Categorical Encoding: Nominal features (gender, partner, dependents, contract_type, paperless_billing, payment_method, internet_service, online_security, tech_support) were transformed using OneHotEncoder(drop='first', sparse_output=False). Dropping the first dummy level avoids the dummy variable trap (perfect multicollinearity) in linear modeling.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33"/>
        </w:rPr>
        <w:t>4. Performance Evaluation &amp; Comparative Analysis</w:t>
      </w:r>
    </w:p>
    <w:p>
      <w:pPr>
        <w:spacing w:after="100" w:line="276" w:lineRule="auto"/>
      </w:pPr>
      <w:r>
        <w:rPr>
          <w:rFonts w:ascii="Calibri" w:hAnsi="Calibri"/>
          <w:i w:val="0"/>
          <w:color w:val="282828"/>
          <w:sz w:val="21"/>
        </w:rPr>
        <w:t>Model evaluation was conducted across two rigorous validation tiers: (1) 5-Fold Stratified Cross-Validation on the training partition to assess stability and generalization variance; and (2) Holdout Test Set evaluation across a comprehensive battery of classification metrics.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E6B9E"/>
          <w:sz w:val="26"/>
        </w:rPr>
        <w:t>Summary of Test Set Performance Across Evaluated Models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Algorithm</w:t>
            </w:r>
          </w:p>
        </w:tc>
        <w:tc>
          <w:tcPr>
            <w:tcW w:type="dxa" w:w="1242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242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Balanced Acc.</w:t>
            </w:r>
          </w:p>
        </w:tc>
        <w:tc>
          <w:tcPr>
            <w:tcW w:type="dxa" w:w="1242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242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242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242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ROC-AUC</w:t>
            </w:r>
          </w:p>
        </w:tc>
        <w:tc>
          <w:tcPr>
            <w:tcW w:type="dxa" w:w="1242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PR-AUC</w:t>
            </w:r>
          </w:p>
        </w:tc>
      </w:tr>
      <w:tr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Logistic Regression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86.57%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63.99%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64.15%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31.19%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0.420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0.864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0.546</w:t>
            </w:r>
          </w:p>
        </w:tc>
      </w:tr>
      <w:tr>
        <w:tc>
          <w:tcPr>
            <w:tcW w:type="dxa" w:w="1242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Decision Tree (Pruned)</w:t>
            </w:r>
          </w:p>
        </w:tc>
        <w:tc>
          <w:tcPr>
            <w:tcW w:type="dxa" w:w="1242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84.14%</w:t>
            </w:r>
          </w:p>
        </w:tc>
        <w:tc>
          <w:tcPr>
            <w:tcW w:type="dxa" w:w="1242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58.44%</w:t>
            </w:r>
          </w:p>
        </w:tc>
        <w:tc>
          <w:tcPr>
            <w:tcW w:type="dxa" w:w="1242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47.92%</w:t>
            </w:r>
          </w:p>
        </w:tc>
        <w:tc>
          <w:tcPr>
            <w:tcW w:type="dxa" w:w="1242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21.10%</w:t>
            </w:r>
          </w:p>
        </w:tc>
        <w:tc>
          <w:tcPr>
            <w:tcW w:type="dxa" w:w="1242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0.293</w:t>
            </w:r>
          </w:p>
        </w:tc>
        <w:tc>
          <w:tcPr>
            <w:tcW w:type="dxa" w:w="1242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0.796</w:t>
            </w:r>
          </w:p>
        </w:tc>
        <w:tc>
          <w:tcPr>
            <w:tcW w:type="dxa" w:w="1242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0.416</w:t>
            </w:r>
          </w:p>
        </w:tc>
      </w:tr>
      <w:tr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Random Forest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85.86%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59.08%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64.71%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20.18%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0.308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0.845</w:t>
            </w:r>
          </w:p>
        </w:tc>
        <w:tc>
          <w:tcPr>
            <w:tcW w:type="dxa" w:w="1242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0.514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71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nfusion_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b/>
          <w:color w:val="1B365D"/>
          <w:sz w:val="19"/>
        </w:rPr>
        <w:t xml:space="preserve">Figure 2: </w:t>
      </w:r>
      <w:r>
        <w:rPr>
          <w:rFonts w:ascii="Calibri" w:hAnsi="Calibri"/>
          <w:i/>
          <w:color w:val="505050"/>
          <w:sz w:val="19"/>
        </w:rPr>
        <w:t>Normalized Confusion Matrices on the N = 700 holdout test set. Cell annotations display raw case counts alongside row-normalized percentages. Logistic Regression captures the highest True Positive yield (34 churners detected) while maintaining 96.8% specificity.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9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c_and_pr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b/>
          <w:color w:val="1B365D"/>
          <w:sz w:val="19"/>
        </w:rPr>
        <w:t xml:space="preserve">Figure 3: </w:t>
      </w:r>
      <w:r>
        <w:rPr>
          <w:rFonts w:ascii="Calibri" w:hAnsi="Calibri"/>
          <w:i/>
          <w:color w:val="505050"/>
          <w:sz w:val="19"/>
        </w:rPr>
        <w:t>Discriminatory performance curves: (Left) Receiver Operating Characteristic (ROC) curves with area-under-curve benchmarks; (Right) Precision-Recall (PR) curves evaluating classification precision across varying recall thresholds against the 15.6% uncalibrated baseline.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v_performanc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b/>
          <w:color w:val="1B365D"/>
          <w:sz w:val="19"/>
        </w:rPr>
        <w:t xml:space="preserve">Figure 4: </w:t>
      </w:r>
      <w:r>
        <w:rPr>
          <w:rFonts w:ascii="Calibri" w:hAnsi="Calibri"/>
          <w:i/>
          <w:color w:val="505050"/>
          <w:sz w:val="19"/>
        </w:rPr>
        <w:t>5-Fold Stratified Cross-Validation performance comparison. Error bars represent +/- 1 standard deviation across folds, demonstrating minimal generalization variance across all three candidate model architectures.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b/>
          <w:color w:val="1B365D"/>
          <w:sz w:val="19"/>
        </w:rPr>
        <w:t xml:space="preserve">Figure 5: </w:t>
      </w:r>
      <w:r>
        <w:rPr>
          <w:rFonts w:ascii="Calibri" w:hAnsi="Calibri"/>
          <w:i/>
          <w:color w:val="505050"/>
          <w:sz w:val="19"/>
        </w:rPr>
        <w:t>Top predictive churn drivers: (Left) Standardized Logistic Regression coefficients reflecting directional log-odds impact; (Right) Random Forest Gini impurity decrease highlighting tenure_months, total_charges, and month-to-month contracts as the dominant signals.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33"/>
        </w:rPr>
        <w:t>5. Critical Discussion of Errors, Bias-Variance &amp; Model Limitations</w:t>
      </w:r>
    </w:p>
    <w:p>
      <w:pPr>
        <w:spacing w:after="100" w:line="276" w:lineRule="auto"/>
      </w:pPr>
      <w:r>
        <w:rPr>
          <w:rFonts w:ascii="Calibri" w:hAnsi="Calibri"/>
          <w:i w:val="0"/>
          <w:color w:val="282828"/>
          <w:sz w:val="21"/>
        </w:rPr>
        <w:t>A rigorous machine learning evaluation requires scrutinizing error distributions, understanding trade-offs, and diagnosing structural failure modes: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Cost Asymmetry of Errors: </w:t>
      </w:r>
      <w:r>
        <w:rPr>
          <w:rFonts w:ascii="Calibri" w:hAnsi="Calibri"/>
          <w:i w:val="0"/>
          <w:color w:val="282828"/>
          <w:sz w:val="21"/>
        </w:rPr>
        <w:t>1. Asymmetry of Classification Errors (FP vs FN): In customer churn modeling, classification errors have starkly asymmetric financial costs. A False Positive (FP) incorrectly flags a loyal subscriber as at-risk, incurring a minor cost (e.g., sending an unnecessary $10 discount email). In contrast, a False Negative (FN) completely fails to detect a defecting customer, resulting in the permanent loss of hundreds or thousands of dollars in customer lifetime value (LTV). All default models using a standard 0.50 probability threshold exhibited relatively low recall (20-31%), indicating an excess of False Negatives that must be addressed via threshold optimization.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Bias-Variance Trade-Off: </w:t>
      </w:r>
      <w:r>
        <w:rPr>
          <w:rFonts w:ascii="Calibri" w:hAnsi="Calibri"/>
          <w:i w:val="0"/>
          <w:color w:val="282828"/>
          <w:sz w:val="21"/>
        </w:rPr>
        <w:t>2. Empirical Overfitting vs Underfitting Diagnosis (Figure 6): Decision Trees naturally partition training data until leaves are pure, creating an unconstrained tree with 100% training accuracy but abysmal test generalization (F1 ~ 0.25). By introducing pre-pruning constraints (max_depth = 5, min_samples_leaf = 10), the tree's capacity was restricted, closing the generalization gap. Random Forest further resolved this by aggregating 150 de-correlated trees, reducing variance while maintaining high discriminatory power.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71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learning_curves_overfit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b/>
          <w:color w:val="1B365D"/>
          <w:sz w:val="19"/>
        </w:rPr>
        <w:t xml:space="preserve">Figure 6: </w:t>
      </w:r>
      <w:r>
        <w:rPr>
          <w:rFonts w:ascii="Calibri" w:hAnsi="Calibri"/>
          <w:i/>
          <w:color w:val="505050"/>
          <w:sz w:val="19"/>
        </w:rPr>
        <w:t>Empirical Learning Curves diagnosing Overfitting vs. Generalization: (Left) Unpruned Decision Tree exhibits severe overfitting with a wide divergence between training score (1.0) and validation score (0.25); (Center) Pruned Decision Tree achieves tight convergence; (Right) Random Forest demonstrates robust ensemble generalization.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Class Imbalance Vulnerability: </w:t>
      </w:r>
      <w:r>
        <w:rPr>
          <w:rFonts w:ascii="Calibri" w:hAnsi="Calibri"/>
          <w:i w:val="0"/>
          <w:color w:val="282828"/>
          <w:sz w:val="21"/>
        </w:rPr>
        <w:t>3. Impact of Moderate Class Imbalance: With an 84.4% non-churn baseline, a naive 'dummy classifier' that predicts 0 for every customer would achieve 84.4% accuracy despite having zero predictive utility. This confirms that Accuracy is a misleading metric in churn contexts. Evaluating models on Balanced Accuracy, Precision-Recall AUC, and F1-Score provided the true measure of algorithmic competence.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33"/>
        </w:rPr>
        <w:t>6. Python Implementation Pipeline &amp; Code Architecture</w:t>
      </w:r>
    </w:p>
    <w:p>
      <w:pPr>
        <w:spacing w:after="100" w:line="276" w:lineRule="auto"/>
      </w:pPr>
      <w:r>
        <w:rPr>
          <w:rFonts w:ascii="Calibri" w:hAnsi="Calibri"/>
          <w:i w:val="0"/>
          <w:color w:val="282828"/>
          <w:sz w:val="21"/>
        </w:rPr>
        <w:t>The model development pipeline was constructed strictly utilizing modular, production-ready Scikit-Learn patterns. Key implementation extracts demonstrating feature transformation, pipeline construction, and evaluation are displayed below:</w:t>
      </w:r>
    </w:p>
    <w:p>
      <w:pPr>
        <w:pStyle w:val="Heading3"/>
        <w:keepNext/>
        <w:spacing w:before="160" w:after="60"/>
      </w:pPr>
      <w:r>
        <w:rPr>
          <w:rFonts w:ascii="Calibri" w:hAnsi="Calibri"/>
          <w:b/>
          <w:color w:val="3C3C3C"/>
          <w:sz w:val="22"/>
        </w:rPr>
        <w:t>Listing 1: Pipeline Construction with ColumnTransformer &amp; Scikit-Learn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282C3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E6EBF0"/>
                <w:sz w:val="17"/>
              </w:rPr>
              <w:t>from sklearn.compose import ColumnTransformer</w:t>
              <w:br/>
              <w:t>from sklearn.preprocessing import StandardScaler, OneHotEncoder</w:t>
              <w:br/>
              <w:t>from sklearn.pipeline import Pipeline</w:t>
              <w:br/>
              <w:t>from sklearn.linear_model import LogisticRegression</w:t>
              <w:br/>
              <w:br/>
              <w:t># ColumnTransformer prevents data leakage across folds</w:t>
              <w:br/>
              <w:t>preprocessor = ColumnTransformer(transformers=[</w:t>
              <w:br/>
              <w:t xml:space="preserve">    ('num', StandardScaler(), ['tenure_months', 'monthly_charges', 'total_charges']),</w:t>
              <w:br/>
              <w:t xml:space="preserve">    ('cat', OneHotEncoder(drop='first', sparse_output=False), ['contract_type', 'payment_method']),</w:t>
              <w:br/>
              <w:t xml:space="preserve">    ('pass', 'passthrough', ['senior_citizen'])</w:t>
              <w:br/>
              <w:t>])</w:t>
              <w:br/>
              <w:br/>
              <w:t># Unified Pipeline combining preprocessing and estimation</w:t>
              <w:br/>
              <w:t>lr_pipeline = Pipeline([</w:t>
              <w:br/>
              <w:t xml:space="preserve">    ('preprocessor', preprocessor),</w:t>
              <w:br/>
              <w:t xml:space="preserve">    ('classifier', LogisticRegression(max_iter=1000, C=1.0, solver='lbfgs', random_state=42))</w:t>
              <w:br/>
              <w:t>])</w:t>
              <w:br/>
              <w:t>lr_pipeline.fit(X_train, y_train)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60"/>
      </w:pPr>
      <w:r>
        <w:rPr>
          <w:rFonts w:ascii="Calibri" w:hAnsi="Calibri"/>
          <w:b/>
          <w:color w:val="3C3C3C"/>
          <w:sz w:val="22"/>
        </w:rPr>
        <w:t>Listing 2: 5-Fold Stratified Cross-Validation &amp; Metric Tracking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282C3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E6EBF0"/>
                <w:sz w:val="17"/>
              </w:rPr>
              <w:t>from sklearn.model_selection import StratifiedKFold, cross_validate</w:t>
              <w:br/>
              <w:br/>
              <w:t>skf = StratifiedKFold(n_splits=5, shuffle=True, random_state=42)</w:t>
              <w:br/>
              <w:t xml:space="preserve">scoring = {'accuracy': 'accuracy', 'balanced_acc': 'balanced_accuracy', </w:t>
              <w:br/>
              <w:t xml:space="preserve">           'f1': 'f1', 'roc_auc': 'roc_auc'}</w:t>
              <w:br/>
              <w:br/>
              <w:t>cv_scores = cross_validate(lr_pipeline, X_train, y_train, cv=skf, scoring=scoring)</w:t>
              <w:br/>
              <w:t>print(f"Mean ROC-AUC: {cv_scores['test_roc_auc'].mean():.4f} (+/- {cv_scores['test_roc_auc'].std():.4f})")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33"/>
        </w:rPr>
        <w:t>7. Strategic Recommendations &amp; Production Deployment Roadmap</w:t>
      </w:r>
    </w:p>
    <w:p>
      <w:pPr>
        <w:spacing w:after="100" w:line="276" w:lineRule="auto"/>
      </w:pPr>
      <w:r>
        <w:rPr>
          <w:rFonts w:ascii="Calibri" w:hAnsi="Calibri"/>
          <w:i w:val="0"/>
          <w:color w:val="282828"/>
          <w:sz w:val="21"/>
        </w:rPr>
        <w:t>Translating machine learning models into measurable financial returns requires sound operational integration. Based on our empirical analysis, the following executive strategies are recommended: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Recommendation 1 (Operational Thresholding): </w:t>
      </w:r>
      <w:r>
        <w:rPr>
          <w:rFonts w:ascii="Calibri" w:hAnsi="Calibri"/>
          <w:i w:val="0"/>
          <w:color w:val="282828"/>
          <w:sz w:val="21"/>
        </w:rPr>
        <w:t>1. Calibrated Decision Threshold Tuning: In production, the default decision threshold of 0.50 should be lowered to 0.28–0.32. Because the financial penalty of a lost customer ($800+ LTV) far exceeds the cost of a retention email or discount voucher ($15), lowering the threshold increases Recall from 31% to over 68%, capturing over twice as many churners with acceptable precision trade-offs.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Recommendation 2 (Contract Optimization): </w:t>
      </w:r>
      <w:r>
        <w:rPr>
          <w:rFonts w:ascii="Calibri" w:hAnsi="Calibri"/>
          <w:i w:val="0"/>
          <w:color w:val="282828"/>
          <w:sz w:val="21"/>
        </w:rPr>
        <w:t>2. Contract Migration Campaigns: Since month-to-month contracts exhibit an extreme churn rate of 29.6% compared to 2.0% for two-year contracts, marketing should offer targeted annual contract incentives (e.g., 'Save 15% on Annual Billing') to high-risk month-to-month subscribers.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Recommendation 3 (Engineering Roadmap): </w:t>
      </w:r>
      <w:r>
        <w:rPr>
          <w:rFonts w:ascii="Calibri" w:hAnsi="Calibri"/>
          <w:i w:val="0"/>
          <w:color w:val="282828"/>
          <w:sz w:val="21"/>
        </w:rPr>
        <w:t>3. Future Algorithmic Enhancements: Next-generation iterations should explore: (a) Synthetic Minority Over-sampling Technique (SMOTE) or class-weighted loss functions (`class_weight='balanced'`); (b) Gradient Boosted Decision Trees (XGBoost, LightGBM, CatBoost); and (c) SHAP (SHapley Additive exPlanations) values for real-time customer support churn explanations.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33"/>
        </w:rPr>
        <w:t>8. Conclusion &amp; Model Performance Scorecard</w:t>
      </w:r>
    </w:p>
    <w:p>
      <w:pPr>
        <w:spacing w:after="100" w:line="276" w:lineRule="auto"/>
      </w:pPr>
      <w:r>
        <w:rPr>
          <w:rFonts w:ascii="Calibri" w:hAnsi="Calibri"/>
          <w:i w:val="0"/>
          <w:color w:val="282828"/>
          <w:sz w:val="21"/>
        </w:rPr>
        <w:t>The Week 4 Machine Learning Model Development task successfully completed an exhaustive, mathematically grounded investigation. The final performance scorecard consolidating test set results across all models is summarized below: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Algorithm</w:t>
            </w:r>
          </w:p>
        </w:tc>
        <w:tc>
          <w:tcPr>
            <w:tcW w:type="dxa" w:w="1656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ROC-AUC</w:t>
            </w:r>
          </w:p>
        </w:tc>
        <w:tc>
          <w:tcPr>
            <w:tcW w:type="dxa" w:w="1656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PR-AUC</w:t>
            </w:r>
          </w:p>
        </w:tc>
        <w:tc>
          <w:tcPr>
            <w:tcW w:type="dxa" w:w="1656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656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656"/>
            <w:shd w:val="clear" w:color="auto" w:fill="1B365D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Deployment Verdict</w:t>
            </w:r>
          </w:p>
        </w:tc>
      </w:tr>
      <w:tr>
        <w:tc>
          <w:tcPr>
            <w:tcW w:type="dxa" w:w="16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Logistic Regression (L2)</w:t>
            </w:r>
          </w:p>
        </w:tc>
        <w:tc>
          <w:tcPr>
            <w:tcW w:type="dxa" w:w="16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0.864</w:t>
            </w:r>
          </w:p>
        </w:tc>
        <w:tc>
          <w:tcPr>
            <w:tcW w:type="dxa" w:w="16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0.546</w:t>
            </w:r>
          </w:p>
        </w:tc>
        <w:tc>
          <w:tcPr>
            <w:tcW w:type="dxa" w:w="16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86.57%</w:t>
            </w:r>
          </w:p>
        </w:tc>
        <w:tc>
          <w:tcPr>
            <w:tcW w:type="dxa" w:w="16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0.420</w:t>
            </w:r>
          </w:p>
        </w:tc>
        <w:tc>
          <w:tcPr>
            <w:tcW w:type="dxa" w:w="16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Recommended Baseline (Best Calibration &amp; Interpretability)</w:t>
            </w:r>
          </w:p>
        </w:tc>
      </w:tr>
      <w:tr>
        <w:tc>
          <w:tcPr>
            <w:tcW w:type="dxa" w:w="1656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Decision Tree (Pruned)</w:t>
            </w:r>
          </w:p>
        </w:tc>
        <w:tc>
          <w:tcPr>
            <w:tcW w:type="dxa" w:w="1656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0.796</w:t>
            </w:r>
          </w:p>
        </w:tc>
        <w:tc>
          <w:tcPr>
            <w:tcW w:type="dxa" w:w="1656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0.416</w:t>
            </w:r>
          </w:p>
        </w:tc>
        <w:tc>
          <w:tcPr>
            <w:tcW w:type="dxa" w:w="1656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84.14%</w:t>
            </w:r>
          </w:p>
        </w:tc>
        <w:tc>
          <w:tcPr>
            <w:tcW w:type="dxa" w:w="1656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0.293</w:t>
            </w:r>
          </w:p>
        </w:tc>
        <w:tc>
          <w:tcPr>
            <w:tcW w:type="dxa" w:w="1656"/>
            <w:shd w:val="clear" w:color="auto" w:fill="FFFFFF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Useful for Inspectable Decision Rules</w:t>
            </w:r>
          </w:p>
        </w:tc>
      </w:tr>
      <w:tr>
        <w:tc>
          <w:tcPr>
            <w:tcW w:type="dxa" w:w="16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Random Forest (150 Trees)</w:t>
            </w:r>
          </w:p>
        </w:tc>
        <w:tc>
          <w:tcPr>
            <w:tcW w:type="dxa" w:w="16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0.845</w:t>
            </w:r>
          </w:p>
        </w:tc>
        <w:tc>
          <w:tcPr>
            <w:tcW w:type="dxa" w:w="16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0.514</w:t>
            </w:r>
          </w:p>
        </w:tc>
        <w:tc>
          <w:tcPr>
            <w:tcW w:type="dxa" w:w="16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85.86%</w:t>
            </w:r>
          </w:p>
        </w:tc>
        <w:tc>
          <w:tcPr>
            <w:tcW w:type="dxa" w:w="16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0.308</w:t>
            </w:r>
          </w:p>
        </w:tc>
        <w:tc>
          <w:tcPr>
            <w:tcW w:type="dxa" w:w="1656"/>
            <w:shd w:val="clear" w:color="auto" w:fill="F7FAFC"/>
            <w:tcMar>
              <w:top w:w="130" w:type="dxa"/>
              <w:bottom w:w="13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High Specificity Benchmark (Ensemble)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