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color w:val="1B365D"/>
          <w:sz w:val="44"/>
        </w:rPr>
        <w:t>WEEK 3 TECHNICAL REPORT: STATISTICAL ANALYSIS &amp; HYPOTHESIS TESTING IN PYTHON</w:t>
      </w:r>
    </w:p>
    <w:p>
      <w:pPr>
        <w:spacing w:after="240"/>
      </w:pPr>
      <w:r>
        <w:rPr>
          <w:rFonts w:ascii="Calibri" w:hAnsi="Calibri"/>
          <w:i/>
          <w:color w:val="465F82"/>
          <w:sz w:val="26"/>
        </w:rPr>
        <w:t>Empirical Evaluation of Digital Product Interventions: A Multi-Factor Inferential Study on User Engagement, Conversion Dynamics, and Revenue Optimization</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968"/>
        <w:gridCol w:w="4968"/>
      </w:tblGrid>
      <w:tr>
        <w:tc>
          <w:tcPr>
            <w:tcW w:type="dxa" w:w="3312"/>
            <w:shd w:val="clear" w:color="auto" w:fill="F7FAFC"/>
            <w:tcMar>
              <w:top w:w="140" w:type="dxa"/>
              <w:bottom w:w="140" w:type="dxa"/>
              <w:left w:w="160" w:type="dxa"/>
              <w:right w:w="160" w:type="dxa"/>
            </w:tcMar>
            <w:vAlign w:val="center"/>
          </w:tcPr>
          <w:p>
            <w:pPr>
              <w:jc w:val="left"/>
            </w:pPr>
            <w:r>
              <w:rPr>
                <w:rFonts w:ascii="Calibri" w:hAnsi="Calibri"/>
                <w:b/>
                <w:color w:val="1B365D"/>
                <w:sz w:val="19"/>
              </w:rPr>
              <w:t>Internship Domain / Track:</w:t>
            </w:r>
          </w:p>
        </w:tc>
        <w:tc>
          <w:tcPr>
            <w:tcW w:type="dxa" w:w="6048"/>
            <w:shd w:val="clear" w:color="auto" w:fill="F7FAFC"/>
            <w:tcMar>
              <w:top w:w="140" w:type="dxa"/>
              <w:bottom w:w="140" w:type="dxa"/>
              <w:left w:w="160" w:type="dxa"/>
              <w:right w:w="160" w:type="dxa"/>
            </w:tcMar>
            <w:vAlign w:val="center"/>
          </w:tcPr>
          <w:p>
            <w:pPr>
              <w:jc w:val="left"/>
            </w:pPr>
            <w:r>
              <w:rPr>
                <w:rFonts w:ascii="Calibri" w:hAnsi="Calibri"/>
                <w:b w:val="0"/>
                <w:color w:val="222222"/>
                <w:sz w:val="19"/>
              </w:rPr>
              <w:t>Data Science &amp; Advanced Python Analytics (Week 3 Milestone)</w:t>
            </w:r>
          </w:p>
        </w:tc>
      </w:tr>
      <w:tr>
        <w:tc>
          <w:tcPr>
            <w:tcW w:type="dxa" w:w="3312"/>
            <w:shd w:val="clear" w:color="auto" w:fill="FFFFFF"/>
            <w:tcMar>
              <w:top w:w="140" w:type="dxa"/>
              <w:bottom w:w="140" w:type="dxa"/>
              <w:left w:w="160" w:type="dxa"/>
              <w:right w:w="160" w:type="dxa"/>
            </w:tcMar>
            <w:vAlign w:val="center"/>
          </w:tcPr>
          <w:p>
            <w:pPr>
              <w:jc w:val="left"/>
            </w:pPr>
            <w:r>
              <w:rPr>
                <w:rFonts w:ascii="Calibri" w:hAnsi="Calibri"/>
                <w:b/>
                <w:color w:val="1B365D"/>
                <w:sz w:val="19"/>
              </w:rPr>
              <w:t>Analytical Methodology:</w:t>
            </w:r>
          </w:p>
        </w:tc>
        <w:tc>
          <w:tcPr>
            <w:tcW w:type="dxa" w:w="6048"/>
            <w:shd w:val="clear" w:color="auto" w:fill="FFFFFF"/>
            <w:tcMar>
              <w:top w:w="140" w:type="dxa"/>
              <w:bottom w:w="140" w:type="dxa"/>
              <w:left w:w="160" w:type="dxa"/>
              <w:right w:w="160" w:type="dxa"/>
            </w:tcMar>
            <w:vAlign w:val="center"/>
          </w:tcPr>
          <w:p>
            <w:pPr>
              <w:jc w:val="left"/>
            </w:pPr>
            <w:r>
              <w:rPr>
                <w:rFonts w:ascii="Calibri" w:hAnsi="Calibri"/>
                <w:b w:val="0"/>
                <w:color w:val="222222"/>
                <w:sz w:val="19"/>
              </w:rPr>
              <w:t>Parametric &amp; Non-Parametric Hypothesis Battery (SciPy &amp; Statsmodels)</w:t>
            </w:r>
          </w:p>
        </w:tc>
      </w:tr>
      <w:tr>
        <w:tc>
          <w:tcPr>
            <w:tcW w:type="dxa" w:w="3312"/>
            <w:shd w:val="clear" w:color="auto" w:fill="F7FAFC"/>
            <w:tcMar>
              <w:top w:w="140" w:type="dxa"/>
              <w:bottom w:w="140" w:type="dxa"/>
              <w:left w:w="160" w:type="dxa"/>
              <w:right w:w="160" w:type="dxa"/>
            </w:tcMar>
            <w:vAlign w:val="center"/>
          </w:tcPr>
          <w:p>
            <w:pPr>
              <w:jc w:val="left"/>
            </w:pPr>
            <w:r>
              <w:rPr>
                <w:rFonts w:ascii="Calibri" w:hAnsi="Calibri"/>
                <w:b/>
                <w:color w:val="1B365D"/>
                <w:sz w:val="19"/>
              </w:rPr>
              <w:t>Workload Allocation:</w:t>
            </w:r>
          </w:p>
        </w:tc>
        <w:tc>
          <w:tcPr>
            <w:tcW w:type="dxa" w:w="6048"/>
            <w:shd w:val="clear" w:color="auto" w:fill="F7FAFC"/>
            <w:tcMar>
              <w:top w:w="140" w:type="dxa"/>
              <w:bottom w:w="140" w:type="dxa"/>
              <w:left w:w="160" w:type="dxa"/>
              <w:right w:w="160" w:type="dxa"/>
            </w:tcMar>
            <w:vAlign w:val="center"/>
          </w:tcPr>
          <w:p>
            <w:pPr>
              <w:jc w:val="left"/>
            </w:pPr>
            <w:r>
              <w:rPr>
                <w:rFonts w:ascii="Calibri" w:hAnsi="Calibri"/>
                <w:b w:val="0"/>
                <w:color w:val="222222"/>
                <w:sz w:val="19"/>
              </w:rPr>
              <w:t>Adherent to 30-35 Hours Professional Workload Standard</w:t>
            </w:r>
          </w:p>
        </w:tc>
      </w:tr>
      <w:tr>
        <w:tc>
          <w:tcPr>
            <w:tcW w:type="dxa" w:w="3312"/>
            <w:shd w:val="clear" w:color="auto" w:fill="FFFFFF"/>
            <w:tcMar>
              <w:top w:w="140" w:type="dxa"/>
              <w:bottom w:w="140" w:type="dxa"/>
              <w:left w:w="160" w:type="dxa"/>
              <w:right w:w="160" w:type="dxa"/>
            </w:tcMar>
            <w:vAlign w:val="center"/>
          </w:tcPr>
          <w:p>
            <w:pPr>
              <w:jc w:val="left"/>
            </w:pPr>
            <w:r>
              <w:rPr>
                <w:rFonts w:ascii="Calibri" w:hAnsi="Calibri"/>
                <w:b/>
                <w:color w:val="1B365D"/>
                <w:sz w:val="19"/>
              </w:rPr>
              <w:t>Statistical Significance Standard:</w:t>
            </w:r>
          </w:p>
        </w:tc>
        <w:tc>
          <w:tcPr>
            <w:tcW w:type="dxa" w:w="6048"/>
            <w:shd w:val="clear" w:color="auto" w:fill="FFFFFF"/>
            <w:tcMar>
              <w:top w:w="140" w:type="dxa"/>
              <w:bottom w:w="140" w:type="dxa"/>
              <w:left w:w="160" w:type="dxa"/>
              <w:right w:w="160" w:type="dxa"/>
            </w:tcMar>
            <w:vAlign w:val="center"/>
          </w:tcPr>
          <w:p>
            <w:pPr>
              <w:jc w:val="left"/>
            </w:pPr>
            <w:r>
              <w:rPr>
                <w:rFonts w:ascii="Calibri" w:hAnsi="Calibri"/>
                <w:b w:val="0"/>
                <w:color w:val="222222"/>
                <w:sz w:val="19"/>
              </w:rPr>
              <w:t>Two-Tailed alpha = 0.05 (95% Confidence Interval Framework)</w:t>
            </w:r>
          </w:p>
        </w:tc>
      </w:tr>
    </w:tbl>
    <w:p>
      <w:pPr>
        <w:spacing w:after="160"/>
      </w:pPr>
    </w:p>
    <w:p>
      <w:pPr>
        <w:pStyle w:val="Heading1"/>
        <w:keepNext/>
        <w:spacing w:before="320" w:after="120"/>
      </w:pPr>
      <w:r>
        <w:rPr>
          <w:rFonts w:ascii="Calibri" w:hAnsi="Calibri"/>
          <w:b/>
          <w:color w:val="1B365D"/>
          <w:sz w:val="34"/>
        </w:rPr>
        <w:t>Executive Summary</w:t>
      </w:r>
    </w:p>
    <w:p>
      <w:pPr>
        <w:spacing w:after="100" w:line="276" w:lineRule="auto"/>
      </w:pPr>
      <w:r>
        <w:rPr>
          <w:rFonts w:ascii="Calibri" w:hAnsi="Calibri"/>
          <w:i w:val="0"/>
          <w:color w:val="282828"/>
          <w:sz w:val="21"/>
        </w:rPr>
        <w:t>This project executes an exhaustive inferential statistical analysis to evaluate product, marketing, and operational interventions deployed on a high-volume e-commerce web platform. Operating on a curated experimental dataset of N = 3,000 distinct user sessions, this investigation applies classical and modern hypothesis testing frameworks using Python's scientific ecosystem (Pandas, NumPy, SciPy Stats, and Statsmodels).</w:t>
      </w: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180" w:type="dxa"/>
              <w:right w:w="180" w:type="dxa"/>
            </w:tcMar>
            <w:tcBorders>
              <w:left w:val="single" w:sz="24" w:space="0" w:color="1B365D"/>
              <w:top w:val="none"/>
              <w:right w:val="none"/>
              <w:bottom w:val="none"/>
            </w:tcBorders>
          </w:tcPr>
          <w:p>
            <w:pPr>
              <w:spacing w:after="40" w:line="276" w:lineRule="auto"/>
            </w:pPr>
            <w:r>
              <w:rPr>
                <w:rFonts w:ascii="Calibri" w:hAnsi="Calibri"/>
                <w:b/>
                <w:color w:val="1B365D"/>
                <w:sz w:val="20"/>
              </w:rPr>
              <w:t xml:space="preserve">EXECUTIVE TAKEAWAYS: </w:t>
            </w:r>
            <w:r>
              <w:rPr>
                <w:rFonts w:ascii="Calibri" w:hAnsi="Calibri"/>
                <w:color w:val="323232"/>
                <w:sz w:val="20"/>
              </w:rPr>
              <w:t>Key Empirical Findings: (1) Treatment checkout intervention produces a statistically significant uplift in Average Order Value (+$6.55, Welch's t(472.4) = 3.32, p = 9.56e-04, Cohen's d = 0.30); (2) User conversion is significantly dependent on accessing device category (chi^2(2) = 20.98, p = 2.77e-05, Cramer's V = 0.084), driven by severe mobile friction; (3) Acquisition channels demonstrate massive heterogeneity in engagement (One-Way ANOVA F(3, 2996) = 402.37, p &lt; 1e-200, eta^2 = 0.287); and (4) Personalized onboarding drives dramatic retention improvements in repeat customers (+1.34 score gain, paired t(525) = 35.16, p = 4.26e-140, Cohen's dz = 1.53).</w:t>
            </w:r>
          </w:p>
        </w:tc>
      </w:tr>
    </w:tbl>
    <w:p>
      <w:pPr>
        <w:spacing w:after="80"/>
      </w:pPr>
    </w:p>
    <w:p>
      <w:pPr>
        <w:pStyle w:val="Heading1"/>
        <w:keepNext/>
        <w:spacing w:before="320" w:after="120"/>
      </w:pPr>
      <w:r>
        <w:rPr>
          <w:rFonts w:ascii="Calibri" w:hAnsi="Calibri"/>
          <w:b/>
          <w:color w:val="1B365D"/>
          <w:sz w:val="34"/>
        </w:rPr>
        <w:t>1. Business Problem Definition &amp; Hypotheses Formulation</w:t>
      </w:r>
    </w:p>
    <w:p>
      <w:pPr>
        <w:spacing w:after="100" w:line="276" w:lineRule="auto"/>
      </w:pPr>
      <w:r>
        <w:rPr>
          <w:rFonts w:ascii="Calibri" w:hAnsi="Calibri"/>
          <w:i w:val="0"/>
          <w:color w:val="282828"/>
          <w:sz w:val="21"/>
        </w:rPr>
        <w:t>Modern digital enterprises rely on controlled experimentation to guide capital allocation, engineering prioritization, and user experience optimization. However, naive comparison of sample means or proportions often results in false discoveries (Type I errors) due to natural sampling variance, skewed engagement dynamics, and confounding channel effects. To deliver rigorous, evidence-based recommendations, four formal research hypotheses were formulated and subjected to two-tailed statistical hypothesis testing at the pre-specified significance threshold of alpha = 0.05.</w:t>
      </w:r>
    </w:p>
    <w:p>
      <w:pPr>
        <w:pStyle w:val="Heading2"/>
        <w:keepNext/>
        <w:spacing w:before="240" w:after="80"/>
      </w:pPr>
      <w:r>
        <w:rPr>
          <w:rFonts w:ascii="Calibri" w:hAnsi="Calibri"/>
          <w:b/>
          <w:color w:val="2E6B9E"/>
          <w:sz w:val="27"/>
        </w:rPr>
        <w:t>Summary of Experimental Hypotheses Battery</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none"/>
          <w:left w:val="none"/>
          <w:right w:val="none"/>
        </w:tblBorders>
      </w:tblPr>
      <w:tblGrid>
        <w:gridCol w:w="2484"/>
        <w:gridCol w:w="2484"/>
        <w:gridCol w:w="2484"/>
        <w:gridCol w:w="2484"/>
      </w:tblGrid>
      <w:tr>
        <w:tc>
          <w:tcPr>
            <w:tcW w:type="dxa" w:w="2484"/>
            <w:shd w:val="clear" w:color="auto" w:fill="1B365D"/>
            <w:tcMar>
              <w:top w:w="140" w:type="dxa"/>
              <w:bottom w:w="140" w:type="dxa"/>
              <w:left w:w="160" w:type="dxa"/>
              <w:right w:w="160" w:type="dxa"/>
            </w:tcMar>
            <w:vAlign w:val="center"/>
          </w:tcPr>
          <w:p>
            <w:pPr>
              <w:jc w:val="left"/>
            </w:pPr>
            <w:r>
              <w:rPr>
                <w:rFonts w:ascii="Calibri" w:hAnsi="Calibri"/>
                <w:b/>
                <w:color w:val="FFFFFF"/>
                <w:sz w:val="19"/>
              </w:rPr>
              <w:t>Hypothesis Ref.</w:t>
            </w:r>
          </w:p>
        </w:tc>
        <w:tc>
          <w:tcPr>
            <w:tcW w:type="dxa" w:w="2484"/>
            <w:shd w:val="clear" w:color="auto" w:fill="1B365D"/>
            <w:tcMar>
              <w:top w:w="140" w:type="dxa"/>
              <w:bottom w:w="140" w:type="dxa"/>
              <w:left w:w="160" w:type="dxa"/>
              <w:right w:w="160" w:type="dxa"/>
            </w:tcMar>
            <w:vAlign w:val="center"/>
          </w:tcPr>
          <w:p>
            <w:pPr>
              <w:jc w:val="left"/>
            </w:pPr>
            <w:r>
              <w:rPr>
                <w:rFonts w:ascii="Calibri" w:hAnsi="Calibri"/>
                <w:b/>
                <w:color w:val="FFFFFF"/>
                <w:sz w:val="19"/>
              </w:rPr>
              <w:t>Target Domain &amp; Metric</w:t>
            </w:r>
          </w:p>
        </w:tc>
        <w:tc>
          <w:tcPr>
            <w:tcW w:type="dxa" w:w="2484"/>
            <w:shd w:val="clear" w:color="auto" w:fill="1B365D"/>
            <w:tcMar>
              <w:top w:w="140" w:type="dxa"/>
              <w:bottom w:w="140" w:type="dxa"/>
              <w:left w:w="160" w:type="dxa"/>
              <w:right w:w="160" w:type="dxa"/>
            </w:tcMar>
            <w:vAlign w:val="center"/>
          </w:tcPr>
          <w:p>
            <w:pPr>
              <w:jc w:val="left"/>
            </w:pPr>
            <w:r>
              <w:rPr>
                <w:rFonts w:ascii="Calibri" w:hAnsi="Calibri"/>
                <w:b/>
                <w:color w:val="FFFFFF"/>
                <w:sz w:val="19"/>
              </w:rPr>
              <w:t>Null Hypothesis (H0)</w:t>
            </w:r>
          </w:p>
        </w:tc>
        <w:tc>
          <w:tcPr>
            <w:tcW w:type="dxa" w:w="2484"/>
            <w:shd w:val="clear" w:color="auto" w:fill="1B365D"/>
            <w:tcMar>
              <w:top w:w="140" w:type="dxa"/>
              <w:bottom w:w="140" w:type="dxa"/>
              <w:left w:w="160" w:type="dxa"/>
              <w:right w:w="160" w:type="dxa"/>
            </w:tcMar>
            <w:vAlign w:val="center"/>
          </w:tcPr>
          <w:p>
            <w:pPr>
              <w:jc w:val="left"/>
            </w:pPr>
            <w:r>
              <w:rPr>
                <w:rFonts w:ascii="Calibri" w:hAnsi="Calibri"/>
                <w:b/>
                <w:color w:val="FFFFFF"/>
                <w:sz w:val="19"/>
              </w:rPr>
              <w:t>Alternative Hypothesis (H1)</w:t>
            </w:r>
          </w:p>
        </w:tc>
      </w:tr>
      <w:tr>
        <w:tc>
          <w:tcPr>
            <w:tcW w:type="dxa" w:w="1728"/>
            <w:shd w:val="clear" w:color="auto" w:fill="F7FAFC"/>
            <w:tcMar>
              <w:top w:w="140" w:type="dxa"/>
              <w:bottom w:w="140" w:type="dxa"/>
              <w:left w:w="160" w:type="dxa"/>
              <w:right w:w="160" w:type="dxa"/>
            </w:tcMar>
            <w:vAlign w:val="center"/>
          </w:tcPr>
          <w:p>
            <w:pPr>
              <w:jc w:val="left"/>
            </w:pPr>
            <w:r>
              <w:rPr>
                <w:rFonts w:ascii="Calibri" w:hAnsi="Calibri"/>
                <w:b/>
                <w:color w:val="222222"/>
                <w:sz w:val="18"/>
              </w:rPr>
              <w:t>Hypothesis 1 (Revenue)</w:t>
            </w:r>
          </w:p>
        </w:tc>
        <w:tc>
          <w:tcPr>
            <w:tcW w:type="dxa" w:w="2016"/>
            <w:shd w:val="clear" w:color="auto" w:fill="F7FAFC"/>
            <w:tcMar>
              <w:top w:w="140" w:type="dxa"/>
              <w:bottom w:w="140" w:type="dxa"/>
              <w:left w:w="160" w:type="dxa"/>
              <w:right w:w="160" w:type="dxa"/>
            </w:tcMar>
            <w:vAlign w:val="center"/>
          </w:tcPr>
          <w:p>
            <w:pPr>
              <w:jc w:val="left"/>
            </w:pPr>
            <w:r>
              <w:rPr>
                <w:rFonts w:ascii="Calibri" w:hAnsi="Calibri"/>
                <w:b w:val="0"/>
                <w:color w:val="222222"/>
                <w:sz w:val="18"/>
              </w:rPr>
              <w:t>Average Order Value (AOV) in USD ($)</w:t>
            </w:r>
          </w:p>
        </w:tc>
        <w:tc>
          <w:tcPr>
            <w:tcW w:type="dxa" w:w="2880"/>
            <w:shd w:val="clear" w:color="auto" w:fill="F7FAFC"/>
            <w:tcMar>
              <w:top w:w="140" w:type="dxa"/>
              <w:bottom w:w="140" w:type="dxa"/>
              <w:left w:w="160" w:type="dxa"/>
              <w:right w:w="160" w:type="dxa"/>
            </w:tcMar>
            <w:vAlign w:val="center"/>
          </w:tcPr>
          <w:p>
            <w:pPr>
              <w:jc w:val="left"/>
            </w:pPr>
            <w:r>
              <w:rPr>
                <w:rFonts w:ascii="Calibri" w:hAnsi="Calibri"/>
                <w:b w:val="0"/>
                <w:color w:val="222222"/>
                <w:sz w:val="18"/>
              </w:rPr>
              <w:t>H0,1: mu_Treatment = mu_Control</w:t>
              <w:br/>
              <w:t>(No difference in mean checkout value)</w:t>
            </w:r>
          </w:p>
        </w:tc>
        <w:tc>
          <w:tcPr>
            <w:tcW w:type="dxa" w:w="2880"/>
            <w:shd w:val="clear" w:color="auto" w:fill="F7FAFC"/>
            <w:tcMar>
              <w:top w:w="140" w:type="dxa"/>
              <w:bottom w:w="140" w:type="dxa"/>
              <w:left w:w="160" w:type="dxa"/>
              <w:right w:w="160" w:type="dxa"/>
            </w:tcMar>
            <w:vAlign w:val="center"/>
          </w:tcPr>
          <w:p>
            <w:pPr>
              <w:jc w:val="left"/>
            </w:pPr>
            <w:r>
              <w:rPr>
                <w:rFonts w:ascii="Calibri" w:hAnsi="Calibri"/>
                <w:b w:val="0"/>
                <w:color w:val="222222"/>
                <w:sz w:val="18"/>
              </w:rPr>
              <w:t>H1,1: mu_Treatment != mu_Control</w:t>
              <w:br/>
              <w:t>(Treatment significantly alters mean checkout value)</w:t>
            </w:r>
          </w:p>
        </w:tc>
      </w:tr>
      <w:tr>
        <w:tc>
          <w:tcPr>
            <w:tcW w:type="dxa" w:w="1728"/>
            <w:shd w:val="clear" w:color="auto" w:fill="FFFFFF"/>
            <w:tcMar>
              <w:top w:w="140" w:type="dxa"/>
              <w:bottom w:w="140" w:type="dxa"/>
              <w:left w:w="160" w:type="dxa"/>
              <w:right w:w="160" w:type="dxa"/>
            </w:tcMar>
            <w:vAlign w:val="center"/>
          </w:tcPr>
          <w:p>
            <w:pPr>
              <w:jc w:val="left"/>
            </w:pPr>
            <w:r>
              <w:rPr>
                <w:rFonts w:ascii="Calibri" w:hAnsi="Calibri"/>
                <w:b/>
                <w:color w:val="222222"/>
                <w:sz w:val="18"/>
              </w:rPr>
              <w:t>Hypothesis 2 (Conversion)</w:t>
            </w:r>
          </w:p>
        </w:tc>
        <w:tc>
          <w:tcPr>
            <w:tcW w:type="dxa" w:w="2016"/>
            <w:shd w:val="clear" w:color="auto" w:fill="FFFFFF"/>
            <w:tcMar>
              <w:top w:w="140" w:type="dxa"/>
              <w:bottom w:w="140" w:type="dxa"/>
              <w:left w:w="160" w:type="dxa"/>
              <w:right w:w="160" w:type="dxa"/>
            </w:tcMar>
            <w:vAlign w:val="center"/>
          </w:tcPr>
          <w:p>
            <w:pPr>
              <w:jc w:val="left"/>
            </w:pPr>
            <w:r>
              <w:rPr>
                <w:rFonts w:ascii="Calibri" w:hAnsi="Calibri"/>
                <w:b w:val="0"/>
                <w:color w:val="222222"/>
                <w:sz w:val="18"/>
              </w:rPr>
              <w:t>Conversion Status (0/1) vs Device Category</w:t>
            </w:r>
          </w:p>
        </w:tc>
        <w:tc>
          <w:tcPr>
            <w:tcW w:type="dxa" w:w="2880"/>
            <w:shd w:val="clear" w:color="auto" w:fill="FFFFFF"/>
            <w:tcMar>
              <w:top w:w="140" w:type="dxa"/>
              <w:bottom w:w="140" w:type="dxa"/>
              <w:left w:w="160" w:type="dxa"/>
              <w:right w:w="160" w:type="dxa"/>
            </w:tcMar>
            <w:vAlign w:val="center"/>
          </w:tcPr>
          <w:p>
            <w:pPr>
              <w:jc w:val="left"/>
            </w:pPr>
            <w:r>
              <w:rPr>
                <w:rFonts w:ascii="Calibri" w:hAnsi="Calibri"/>
                <w:b w:val="0"/>
                <w:color w:val="222222"/>
                <w:sz w:val="18"/>
              </w:rPr>
              <w:t>H0,2: P(Conversion | Device) = P(Conversion)</w:t>
              <w:br/>
              <w:t>(Conversion is independent of device)</w:t>
            </w:r>
          </w:p>
        </w:tc>
        <w:tc>
          <w:tcPr>
            <w:tcW w:type="dxa" w:w="2880"/>
            <w:shd w:val="clear" w:color="auto" w:fill="FFFFFF"/>
            <w:tcMar>
              <w:top w:w="140" w:type="dxa"/>
              <w:bottom w:w="140" w:type="dxa"/>
              <w:left w:w="160" w:type="dxa"/>
              <w:right w:w="160" w:type="dxa"/>
            </w:tcMar>
            <w:vAlign w:val="center"/>
          </w:tcPr>
          <w:p>
            <w:pPr>
              <w:jc w:val="left"/>
            </w:pPr>
            <w:r>
              <w:rPr>
                <w:rFonts w:ascii="Calibri" w:hAnsi="Calibri"/>
                <w:b w:val="0"/>
                <w:color w:val="222222"/>
                <w:sz w:val="18"/>
              </w:rPr>
              <w:t>H1,2: P(Conversion | Device) != P(Conversion)</w:t>
              <w:br/>
              <w:t>(Conversion is dependent on device)</w:t>
            </w:r>
          </w:p>
        </w:tc>
      </w:tr>
      <w:tr>
        <w:tc>
          <w:tcPr>
            <w:tcW w:type="dxa" w:w="1728"/>
            <w:shd w:val="clear" w:color="auto" w:fill="F7FAFC"/>
            <w:tcMar>
              <w:top w:w="140" w:type="dxa"/>
              <w:bottom w:w="140" w:type="dxa"/>
              <w:left w:w="160" w:type="dxa"/>
              <w:right w:w="160" w:type="dxa"/>
            </w:tcMar>
            <w:vAlign w:val="center"/>
          </w:tcPr>
          <w:p>
            <w:pPr>
              <w:jc w:val="left"/>
            </w:pPr>
            <w:r>
              <w:rPr>
                <w:rFonts w:ascii="Calibri" w:hAnsi="Calibri"/>
                <w:b/>
                <w:color w:val="222222"/>
                <w:sz w:val="18"/>
              </w:rPr>
              <w:t>Hypothesis 3 (Engagement)</w:t>
            </w:r>
          </w:p>
        </w:tc>
        <w:tc>
          <w:tcPr>
            <w:tcW w:type="dxa" w:w="2016"/>
            <w:shd w:val="clear" w:color="auto" w:fill="F7FAFC"/>
            <w:tcMar>
              <w:top w:w="140" w:type="dxa"/>
              <w:bottom w:w="140" w:type="dxa"/>
              <w:left w:w="160" w:type="dxa"/>
              <w:right w:w="160" w:type="dxa"/>
            </w:tcMar>
            <w:vAlign w:val="center"/>
          </w:tcPr>
          <w:p>
            <w:pPr>
              <w:jc w:val="left"/>
            </w:pPr>
            <w:r>
              <w:rPr>
                <w:rFonts w:ascii="Calibri" w:hAnsi="Calibri"/>
                <w:b w:val="0"/>
                <w:color w:val="222222"/>
                <w:sz w:val="18"/>
              </w:rPr>
              <w:t>Session Duration (Mins) vs Acquisition Channel</w:t>
            </w:r>
          </w:p>
        </w:tc>
        <w:tc>
          <w:tcPr>
            <w:tcW w:type="dxa" w:w="2880"/>
            <w:shd w:val="clear" w:color="auto" w:fill="F7FAFC"/>
            <w:tcMar>
              <w:top w:w="140" w:type="dxa"/>
              <w:bottom w:w="140" w:type="dxa"/>
              <w:left w:w="160" w:type="dxa"/>
              <w:right w:w="160" w:type="dxa"/>
            </w:tcMar>
            <w:vAlign w:val="center"/>
          </w:tcPr>
          <w:p>
            <w:pPr>
              <w:jc w:val="left"/>
            </w:pPr>
            <w:r>
              <w:rPr>
                <w:rFonts w:ascii="Calibri" w:hAnsi="Calibri"/>
                <w:b w:val="0"/>
                <w:color w:val="222222"/>
                <w:sz w:val="18"/>
              </w:rPr>
              <w:t>H0,3: mu_Email = mu_Organic = mu_Paid = mu_Social</w:t>
              <w:br/>
              <w:t>(Equal mean engagement across channels)</w:t>
            </w:r>
          </w:p>
        </w:tc>
        <w:tc>
          <w:tcPr>
            <w:tcW w:type="dxa" w:w="2880"/>
            <w:shd w:val="clear" w:color="auto" w:fill="F7FAFC"/>
            <w:tcMar>
              <w:top w:w="140" w:type="dxa"/>
              <w:bottom w:w="140" w:type="dxa"/>
              <w:left w:w="160" w:type="dxa"/>
              <w:right w:w="160" w:type="dxa"/>
            </w:tcMar>
            <w:vAlign w:val="center"/>
          </w:tcPr>
          <w:p>
            <w:pPr>
              <w:jc w:val="left"/>
            </w:pPr>
            <w:r>
              <w:rPr>
                <w:rFonts w:ascii="Calibri" w:hAnsi="Calibri"/>
                <w:b w:val="0"/>
                <w:color w:val="222222"/>
                <w:sz w:val="18"/>
              </w:rPr>
              <w:t>H1,3: At least one channel pair has mu_i != mu_j</w:t>
              <w:br/>
              <w:t>(Channel origin significantly alters duration)</w:t>
            </w:r>
          </w:p>
        </w:tc>
      </w:tr>
      <w:tr>
        <w:tc>
          <w:tcPr>
            <w:tcW w:type="dxa" w:w="1728"/>
            <w:shd w:val="clear" w:color="auto" w:fill="FFFFFF"/>
            <w:tcMar>
              <w:top w:w="140" w:type="dxa"/>
              <w:bottom w:w="140" w:type="dxa"/>
              <w:left w:w="160" w:type="dxa"/>
              <w:right w:w="160" w:type="dxa"/>
            </w:tcMar>
            <w:vAlign w:val="center"/>
          </w:tcPr>
          <w:p>
            <w:pPr>
              <w:jc w:val="left"/>
            </w:pPr>
            <w:r>
              <w:rPr>
                <w:rFonts w:ascii="Calibri" w:hAnsi="Calibri"/>
                <w:b/>
                <w:color w:val="222222"/>
                <w:sz w:val="18"/>
              </w:rPr>
              <w:t>Hypothesis 4 (Retention)</w:t>
            </w:r>
          </w:p>
        </w:tc>
        <w:tc>
          <w:tcPr>
            <w:tcW w:type="dxa" w:w="2016"/>
            <w:shd w:val="clear" w:color="auto" w:fill="FFFFFF"/>
            <w:tcMar>
              <w:top w:w="140" w:type="dxa"/>
              <w:bottom w:w="140" w:type="dxa"/>
              <w:left w:w="160" w:type="dxa"/>
              <w:right w:w="160" w:type="dxa"/>
            </w:tcMar>
            <w:vAlign w:val="center"/>
          </w:tcPr>
          <w:p>
            <w:pPr>
              <w:jc w:val="left"/>
            </w:pPr>
            <w:r>
              <w:rPr>
                <w:rFonts w:ascii="Calibri" w:hAnsi="Calibri"/>
                <w:b w:val="0"/>
                <w:color w:val="222222"/>
                <w:sz w:val="18"/>
              </w:rPr>
              <w:t>Customer Loyalty / NPS Score (Scale 1-10)</w:t>
            </w:r>
          </w:p>
        </w:tc>
        <w:tc>
          <w:tcPr>
            <w:tcW w:type="dxa" w:w="2880"/>
            <w:shd w:val="clear" w:color="auto" w:fill="FFFFFF"/>
            <w:tcMar>
              <w:top w:w="140" w:type="dxa"/>
              <w:bottom w:w="140" w:type="dxa"/>
              <w:left w:w="160" w:type="dxa"/>
              <w:right w:w="160" w:type="dxa"/>
            </w:tcMar>
            <w:vAlign w:val="center"/>
          </w:tcPr>
          <w:p>
            <w:pPr>
              <w:jc w:val="left"/>
            </w:pPr>
            <w:r>
              <w:rPr>
                <w:rFonts w:ascii="Calibri" w:hAnsi="Calibri"/>
                <w:b w:val="0"/>
                <w:color w:val="222222"/>
                <w:sz w:val="18"/>
              </w:rPr>
              <w:t>H0,4: mu_Difference = 0</w:t>
              <w:br/>
              <w:t>(No change in within-subject loyalty post-intervention)</w:t>
            </w:r>
          </w:p>
        </w:tc>
        <w:tc>
          <w:tcPr>
            <w:tcW w:type="dxa" w:w="2880"/>
            <w:shd w:val="clear" w:color="auto" w:fill="FFFFFF"/>
            <w:tcMar>
              <w:top w:w="140" w:type="dxa"/>
              <w:bottom w:w="140" w:type="dxa"/>
              <w:left w:w="160" w:type="dxa"/>
              <w:right w:w="160" w:type="dxa"/>
            </w:tcMar>
            <w:vAlign w:val="center"/>
          </w:tcPr>
          <w:p>
            <w:pPr>
              <w:jc w:val="left"/>
            </w:pPr>
            <w:r>
              <w:rPr>
                <w:rFonts w:ascii="Calibri" w:hAnsi="Calibri"/>
                <w:b w:val="0"/>
                <w:color w:val="222222"/>
                <w:sz w:val="18"/>
              </w:rPr>
              <w:t>H1,4: mu_Difference != 0</w:t>
              <w:br/>
              <w:t>(Significant shift in within-subject loyalty post-intervention)</w:t>
            </w:r>
          </w:p>
        </w:tc>
      </w:tr>
    </w:tbl>
    <w:p>
      <w:pPr>
        <w:spacing w:after="160"/>
      </w:pPr>
    </w:p>
    <w:p>
      <w:pPr>
        <w:pStyle w:val="Heading1"/>
        <w:keepNext/>
        <w:spacing w:before="320" w:after="120"/>
      </w:pPr>
      <w:r>
        <w:rPr>
          <w:rFonts w:ascii="Calibri" w:hAnsi="Calibri"/>
          <w:b/>
          <w:color w:val="1B365D"/>
          <w:sz w:val="34"/>
        </w:rPr>
        <w:t>2. Dataset Architecture &amp; Exploratory Data Analysis (EDA)</w:t>
      </w:r>
    </w:p>
    <w:p>
      <w:pPr>
        <w:spacing w:after="100" w:line="276" w:lineRule="auto"/>
      </w:pPr>
      <w:r>
        <w:rPr>
          <w:rFonts w:ascii="Calibri" w:hAnsi="Calibri"/>
          <w:i w:val="0"/>
          <w:color w:val="282828"/>
          <w:sz w:val="21"/>
        </w:rPr>
        <w:t>The investigation was conducted on a curated experimental dataset comprising N = 3,000 observations representing independent user sessions. The experimental design utilized a randomized 1:1 allocation ratio between the Control group (legacy platform architecture) and Treatment group (new machine-learning recommendation engine and streamlined single-page checkout flow).</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968"/>
        <w:gridCol w:w="4968"/>
      </w:tblGrid>
      <w:tr>
        <w:tc>
          <w:tcPr>
            <w:tcW w:type="dxa" w:w="3456"/>
            <w:shd w:val="clear" w:color="auto" w:fill="F7FAFC"/>
            <w:tcMar>
              <w:top w:w="140" w:type="dxa"/>
              <w:bottom w:w="140" w:type="dxa"/>
              <w:left w:w="160" w:type="dxa"/>
              <w:right w:w="160" w:type="dxa"/>
            </w:tcMar>
            <w:vAlign w:val="center"/>
          </w:tcPr>
          <w:p>
            <w:pPr>
              <w:jc w:val="left"/>
            </w:pPr>
            <w:r>
              <w:rPr>
                <w:rFonts w:ascii="Calibri" w:hAnsi="Calibri"/>
                <w:b/>
                <w:color w:val="1B365D"/>
                <w:sz w:val="19"/>
              </w:rPr>
              <w:t>Total Experimental Records (N):</w:t>
            </w:r>
          </w:p>
        </w:tc>
        <w:tc>
          <w:tcPr>
            <w:tcW w:type="dxa" w:w="5904"/>
            <w:shd w:val="clear" w:color="auto" w:fill="F7FAFC"/>
            <w:tcMar>
              <w:top w:w="140" w:type="dxa"/>
              <w:bottom w:w="140" w:type="dxa"/>
              <w:left w:w="160" w:type="dxa"/>
              <w:right w:w="160" w:type="dxa"/>
            </w:tcMar>
            <w:vAlign w:val="center"/>
          </w:tcPr>
          <w:p>
            <w:pPr>
              <w:jc w:val="left"/>
            </w:pPr>
            <w:r>
              <w:rPr>
                <w:rFonts w:ascii="Calibri" w:hAnsi="Calibri"/>
                <w:b w:val="0"/>
                <w:color w:val="222222"/>
                <w:sz w:val="19"/>
              </w:rPr>
              <w:t>3,000 unique visitor sessions</w:t>
            </w:r>
          </w:p>
        </w:tc>
      </w:tr>
      <w:tr>
        <w:tc>
          <w:tcPr>
            <w:tcW w:type="dxa" w:w="3456"/>
            <w:shd w:val="clear" w:color="auto" w:fill="FFFFFF"/>
            <w:tcMar>
              <w:top w:w="140" w:type="dxa"/>
              <w:bottom w:w="140" w:type="dxa"/>
              <w:left w:w="160" w:type="dxa"/>
              <w:right w:w="160" w:type="dxa"/>
            </w:tcMar>
            <w:vAlign w:val="center"/>
          </w:tcPr>
          <w:p>
            <w:pPr>
              <w:jc w:val="left"/>
            </w:pPr>
            <w:r>
              <w:rPr>
                <w:rFonts w:ascii="Calibri" w:hAnsi="Calibri"/>
                <w:b/>
                <w:color w:val="1B365D"/>
                <w:sz w:val="19"/>
              </w:rPr>
              <w:t>Group Sample Sizes:</w:t>
            </w:r>
          </w:p>
        </w:tc>
        <w:tc>
          <w:tcPr>
            <w:tcW w:type="dxa" w:w="5904"/>
            <w:shd w:val="clear" w:color="auto" w:fill="FFFFFF"/>
            <w:tcMar>
              <w:top w:w="140" w:type="dxa"/>
              <w:bottom w:w="140" w:type="dxa"/>
              <w:left w:w="160" w:type="dxa"/>
              <w:right w:w="160" w:type="dxa"/>
            </w:tcMar>
            <w:vAlign w:val="center"/>
          </w:tcPr>
          <w:p>
            <w:pPr>
              <w:jc w:val="left"/>
            </w:pPr>
            <w:r>
              <w:rPr>
                <w:rFonts w:ascii="Calibri" w:hAnsi="Calibri"/>
                <w:b w:val="0"/>
                <w:color w:val="222222"/>
                <w:sz w:val="19"/>
              </w:rPr>
              <w:t>Control = 1,485 (49.5%) | Treatment = 1,515 (50.5%)</w:t>
            </w:r>
          </w:p>
        </w:tc>
      </w:tr>
      <w:tr>
        <w:tc>
          <w:tcPr>
            <w:tcW w:type="dxa" w:w="3456"/>
            <w:shd w:val="clear" w:color="auto" w:fill="F7FAFC"/>
            <w:tcMar>
              <w:top w:w="140" w:type="dxa"/>
              <w:bottom w:w="140" w:type="dxa"/>
              <w:left w:w="160" w:type="dxa"/>
              <w:right w:w="160" w:type="dxa"/>
            </w:tcMar>
            <w:vAlign w:val="center"/>
          </w:tcPr>
          <w:p>
            <w:pPr>
              <w:jc w:val="left"/>
            </w:pPr>
            <w:r>
              <w:rPr>
                <w:rFonts w:ascii="Calibri" w:hAnsi="Calibri"/>
                <w:b/>
                <w:color w:val="1B365D"/>
                <w:sz w:val="19"/>
              </w:rPr>
              <w:t>Global Conversion Rate:</w:t>
            </w:r>
          </w:p>
        </w:tc>
        <w:tc>
          <w:tcPr>
            <w:tcW w:type="dxa" w:w="5904"/>
            <w:shd w:val="clear" w:color="auto" w:fill="F7FAFC"/>
            <w:tcMar>
              <w:top w:w="140" w:type="dxa"/>
              <w:bottom w:w="140" w:type="dxa"/>
              <w:left w:w="160" w:type="dxa"/>
              <w:right w:w="160" w:type="dxa"/>
            </w:tcMar>
            <w:vAlign w:val="center"/>
          </w:tcPr>
          <w:p>
            <w:pPr>
              <w:jc w:val="left"/>
            </w:pPr>
            <w:r>
              <w:rPr>
                <w:rFonts w:ascii="Calibri" w:hAnsi="Calibri"/>
                <w:b w:val="0"/>
                <w:color w:val="222222"/>
                <w:sz w:val="19"/>
              </w:rPr>
              <w:t>16.47% (Total 494 converted purchases)</w:t>
            </w:r>
          </w:p>
        </w:tc>
      </w:tr>
      <w:tr>
        <w:tc>
          <w:tcPr>
            <w:tcW w:type="dxa" w:w="3456"/>
            <w:shd w:val="clear" w:color="auto" w:fill="FFFFFF"/>
            <w:tcMar>
              <w:top w:w="140" w:type="dxa"/>
              <w:bottom w:w="140" w:type="dxa"/>
              <w:left w:w="160" w:type="dxa"/>
              <w:right w:w="160" w:type="dxa"/>
            </w:tcMar>
            <w:vAlign w:val="center"/>
          </w:tcPr>
          <w:p>
            <w:pPr>
              <w:jc w:val="left"/>
            </w:pPr>
            <w:r>
              <w:rPr>
                <w:rFonts w:ascii="Calibri" w:hAnsi="Calibri"/>
                <w:b/>
                <w:color w:val="1B365D"/>
                <w:sz w:val="19"/>
              </w:rPr>
              <w:t>Cohort Conversion Rates:</w:t>
            </w:r>
          </w:p>
        </w:tc>
        <w:tc>
          <w:tcPr>
            <w:tcW w:type="dxa" w:w="5904"/>
            <w:shd w:val="clear" w:color="auto" w:fill="FFFFFF"/>
            <w:tcMar>
              <w:top w:w="140" w:type="dxa"/>
              <w:bottom w:w="140" w:type="dxa"/>
              <w:left w:w="160" w:type="dxa"/>
              <w:right w:w="160" w:type="dxa"/>
            </w:tcMar>
            <w:vAlign w:val="center"/>
          </w:tcPr>
          <w:p>
            <w:pPr>
              <w:jc w:val="left"/>
            </w:pPr>
            <w:r>
              <w:rPr>
                <w:rFonts w:ascii="Calibri" w:hAnsi="Calibri"/>
                <w:b w:val="0"/>
                <w:color w:val="222222"/>
                <w:sz w:val="19"/>
              </w:rPr>
              <w:t>Control = 14.21% | Treatment = 18.68% (+4.47% uplift)</w:t>
            </w:r>
          </w:p>
        </w:tc>
      </w:tr>
      <w:tr>
        <w:tc>
          <w:tcPr>
            <w:tcW w:type="dxa" w:w="3456"/>
            <w:shd w:val="clear" w:color="auto" w:fill="F7FAFC"/>
            <w:tcMar>
              <w:top w:w="140" w:type="dxa"/>
              <w:bottom w:w="140" w:type="dxa"/>
              <w:left w:w="160" w:type="dxa"/>
              <w:right w:w="160" w:type="dxa"/>
            </w:tcMar>
            <w:vAlign w:val="center"/>
          </w:tcPr>
          <w:p>
            <w:pPr>
              <w:jc w:val="left"/>
            </w:pPr>
            <w:r>
              <w:rPr>
                <w:rFonts w:ascii="Calibri" w:hAnsi="Calibri"/>
                <w:b/>
                <w:color w:val="1B365D"/>
                <w:sz w:val="19"/>
              </w:rPr>
              <w:t>Device Category Distribution:</w:t>
            </w:r>
          </w:p>
        </w:tc>
        <w:tc>
          <w:tcPr>
            <w:tcW w:type="dxa" w:w="5904"/>
            <w:shd w:val="clear" w:color="auto" w:fill="F7FAFC"/>
            <w:tcMar>
              <w:top w:w="140" w:type="dxa"/>
              <w:bottom w:w="140" w:type="dxa"/>
              <w:left w:w="160" w:type="dxa"/>
              <w:right w:w="160" w:type="dxa"/>
            </w:tcMar>
            <w:vAlign w:val="center"/>
          </w:tcPr>
          <w:p>
            <w:pPr>
              <w:jc w:val="left"/>
            </w:pPr>
            <w:r>
              <w:rPr>
                <w:rFonts w:ascii="Calibri" w:hAnsi="Calibri"/>
                <w:b w:val="0"/>
                <w:color w:val="222222"/>
                <w:sz w:val="19"/>
              </w:rPr>
              <w:t>Mobile = 1,659 (55.3%) | Desktop = 1,052 (35.1%) | Tablet = 289 (9.6%)</w:t>
            </w:r>
          </w:p>
        </w:tc>
      </w:tr>
      <w:tr>
        <w:tc>
          <w:tcPr>
            <w:tcW w:type="dxa" w:w="3456"/>
            <w:shd w:val="clear" w:color="auto" w:fill="FFFFFF"/>
            <w:tcMar>
              <w:top w:w="140" w:type="dxa"/>
              <w:bottom w:w="140" w:type="dxa"/>
              <w:left w:w="160" w:type="dxa"/>
              <w:right w:w="160" w:type="dxa"/>
            </w:tcMar>
            <w:vAlign w:val="center"/>
          </w:tcPr>
          <w:p>
            <w:pPr>
              <w:jc w:val="left"/>
            </w:pPr>
            <w:r>
              <w:rPr>
                <w:rFonts w:ascii="Calibri" w:hAnsi="Calibri"/>
                <w:b/>
                <w:color w:val="1B365D"/>
                <w:sz w:val="19"/>
              </w:rPr>
              <w:t>Marketing Acquisition Channels:</w:t>
            </w:r>
          </w:p>
        </w:tc>
        <w:tc>
          <w:tcPr>
            <w:tcW w:type="dxa" w:w="5904"/>
            <w:shd w:val="clear" w:color="auto" w:fill="FFFFFF"/>
            <w:tcMar>
              <w:top w:w="140" w:type="dxa"/>
              <w:bottom w:w="140" w:type="dxa"/>
              <w:left w:w="160" w:type="dxa"/>
              <w:right w:w="160" w:type="dxa"/>
            </w:tcMar>
            <w:vAlign w:val="center"/>
          </w:tcPr>
          <w:p>
            <w:pPr>
              <w:jc w:val="left"/>
            </w:pPr>
            <w:r>
              <w:rPr>
                <w:rFonts w:ascii="Calibri" w:hAnsi="Calibri"/>
                <w:b w:val="0"/>
                <w:color w:val="222222"/>
                <w:sz w:val="19"/>
              </w:rPr>
              <w:t>Organic = 927 (30.9%) | Paid = 804 (26.8%) | Social = 696 (23.2%) | Email = 573 (19.1%)</w:t>
            </w:r>
          </w:p>
        </w:tc>
      </w:tr>
    </w:tbl>
    <w:p>
      <w:pPr>
        <w:spacing w:after="160"/>
      </w:pPr>
    </w:p>
    <w:p>
      <w:pPr>
        <w:pStyle w:val="Heading1"/>
        <w:keepNext/>
        <w:spacing w:before="320" w:after="120"/>
      </w:pPr>
      <w:r>
        <w:rPr>
          <w:rFonts w:ascii="Calibri" w:hAnsi="Calibri"/>
          <w:b/>
          <w:color w:val="1B365D"/>
          <w:sz w:val="34"/>
        </w:rPr>
        <w:t>3. Statistical Methodology &amp; Diagnostic Framework</w:t>
      </w:r>
    </w:p>
    <w:p>
      <w:pPr>
        <w:spacing w:after="100" w:line="276" w:lineRule="auto"/>
      </w:pPr>
      <w:r>
        <w:rPr>
          <w:rFonts w:ascii="Calibri" w:hAnsi="Calibri"/>
          <w:i w:val="0"/>
          <w:color w:val="282828"/>
          <w:sz w:val="21"/>
        </w:rPr>
        <w:t>To ensure uncompromising analytical validity, all statistical procedures strictly adhere to established diagnostic protocols. Before interpreting any parametric test statistic, foundational distributional assumptions were empirically tested:</w:t>
      </w:r>
    </w:p>
    <w:p>
      <w:pPr>
        <w:spacing w:after="100" w:line="276" w:lineRule="auto"/>
      </w:pPr>
      <w:r>
        <w:rPr>
          <w:rFonts w:ascii="Calibri" w:hAnsi="Calibri"/>
          <w:b/>
          <w:color w:val="222222"/>
          <w:sz w:val="21"/>
        </w:rPr>
        <w:t xml:space="preserve">Distributional Diagnostics: </w:t>
      </w:r>
      <w:r>
        <w:rPr>
          <w:rFonts w:ascii="Calibri" w:hAnsi="Calibri"/>
          <w:i w:val="0"/>
          <w:color w:val="282828"/>
          <w:sz w:val="21"/>
        </w:rPr>
        <w:t>1. Normality Assessment: Evaluated through Shapiro-Wilk test (W-statistic), D'Agostino-Pearson omnibus test, and quantile-quantile (Q-Q) visual plots. Where continuous metrics exhibit skewness, non-parametric equivalents (Mann-Whitney U, Wilcoxon Signed-Rank) are reported alongside.</w:t>
      </w:r>
    </w:p>
    <w:p>
      <w:pPr>
        <w:spacing w:after="100" w:line="276" w:lineRule="auto"/>
      </w:pPr>
      <w:r>
        <w:rPr>
          <w:rFonts w:ascii="Calibri" w:hAnsi="Calibri"/>
          <w:b/>
          <w:color w:val="222222"/>
          <w:sz w:val="21"/>
        </w:rPr>
        <w:t xml:space="preserve">Variance Homogeneity: </w:t>
      </w:r>
      <w:r>
        <w:rPr>
          <w:rFonts w:ascii="Calibri" w:hAnsi="Calibri"/>
          <w:i w:val="0"/>
          <w:color w:val="282828"/>
          <w:sz w:val="21"/>
        </w:rPr>
        <w:t>2. Homoscedasticity (Equal Variances): Assessed using Levene's test centered at the group median (robust against moderate non-normality). When variance equality is violated, Welch's t-test (incorporating the Welch-Satterthwaite degrees of freedom correction) is employed to eliminate Type I error inflation.</w:t>
      </w:r>
    </w:p>
    <w:p>
      <w:pPr>
        <w:spacing w:after="100" w:line="276" w:lineRule="auto"/>
      </w:pPr>
      <w:r>
        <w:rPr>
          <w:rFonts w:ascii="Calibri" w:hAnsi="Calibri"/>
          <w:b/>
          <w:color w:val="222222"/>
          <w:sz w:val="21"/>
        </w:rPr>
        <w:t xml:space="preserve">Post-Hoc Multiple Comparisons: </w:t>
      </w:r>
      <w:r>
        <w:rPr>
          <w:rFonts w:ascii="Calibri" w:hAnsi="Calibri"/>
          <w:i w:val="0"/>
          <w:color w:val="282828"/>
          <w:sz w:val="21"/>
        </w:rPr>
        <w:t>3. Family-Wise Error Rate Control: For multiple pairwise comparisons across acquisition channels, Tukey's Honestly Significant Difference (HSD) is implemented to strictly control the family-wise alpha level at 0.05.</w:t>
      </w:r>
    </w:p>
    <w:p>
      <w:pPr>
        <w:spacing w:after="100" w:line="276" w:lineRule="auto"/>
      </w:pPr>
      <w:r>
        <w:rPr>
          <w:rFonts w:ascii="Calibri" w:hAnsi="Calibri"/>
          <w:b/>
          <w:color w:val="222222"/>
          <w:sz w:val="21"/>
        </w:rPr>
        <w:t xml:space="preserve">Effect Size Quantification: </w:t>
      </w:r>
      <w:r>
        <w:rPr>
          <w:rFonts w:ascii="Calibri" w:hAnsi="Calibri"/>
          <w:i w:val="0"/>
          <w:color w:val="282828"/>
          <w:sz w:val="21"/>
        </w:rPr>
        <w:t>4. Practical Significance &amp; Effect Size: Standardized effect size indices (Cohen's d, Cramer's V, and Eta-Squared eta^2) are computed for all tests to distinguish operational meaningfulness from sample-size-driven statistical significance.</w:t>
      </w:r>
    </w:p>
    <w:p>
      <w:pPr>
        <w:pStyle w:val="Heading1"/>
        <w:keepNext/>
        <w:spacing w:before="320" w:after="120"/>
      </w:pPr>
      <w:r>
        <w:rPr>
          <w:rFonts w:ascii="Calibri" w:hAnsi="Calibri"/>
          <w:b/>
          <w:color w:val="1B365D"/>
          <w:sz w:val="34"/>
        </w:rPr>
        <w:t>4. Detailed Hypothesis Testing Results &amp; Interpretations</w:t>
      </w:r>
    </w:p>
    <w:p>
      <w:pPr>
        <w:pStyle w:val="Heading2"/>
        <w:keepNext/>
        <w:spacing w:before="240" w:after="80"/>
      </w:pPr>
      <w:r>
        <w:rPr>
          <w:rFonts w:ascii="Calibri" w:hAnsi="Calibri"/>
          <w:b/>
          <w:color w:val="2E6B9E"/>
          <w:sz w:val="27"/>
        </w:rPr>
        <w:t>4.1 Hypothesis 1: Revenue Impact on Average Order Value (AOV)</w:t>
      </w:r>
    </w:p>
    <w:p>
      <w:pPr>
        <w:spacing w:after="100" w:line="276" w:lineRule="auto"/>
      </w:pPr>
      <w:r>
        <w:rPr>
          <w:rFonts w:ascii="Calibri" w:hAnsi="Calibri"/>
          <w:i w:val="0"/>
          <w:color w:val="282828"/>
          <w:sz w:val="21"/>
        </w:rPr>
        <w:t>To evaluate whether the recommendation algorithm and streamlined checkout increased basket size, converted order values were analyzed across Control (N = 211) and Treatment (N = 283) cohorts. The null hypothesis states that the population mean AOV of the Treatment group equals that of the Control group (H0: mu_T = mu_C).</w:t>
      </w:r>
    </w:p>
    <w:p>
      <w:pPr>
        <w:spacing w:after="100" w:line="276" w:lineRule="auto"/>
      </w:pPr>
      <w:r>
        <w:rPr>
          <w:rFonts w:ascii="Calibri" w:hAnsi="Calibri"/>
          <w:b/>
          <w:color w:val="222222"/>
          <w:sz w:val="21"/>
        </w:rPr>
        <w:t xml:space="preserve">Diagnostics: </w:t>
      </w:r>
      <w:r>
        <w:rPr>
          <w:rFonts w:ascii="Calibri" w:hAnsi="Calibri"/>
          <w:i w:val="0"/>
          <w:color w:val="282828"/>
          <w:sz w:val="21"/>
        </w:rPr>
        <w:t>Assumption Verification: The Shapiro-Wilk test for normality yielded W = 0.9937, p = 0.5116 for the Control cohort and W = 0.9946, p = 0.4178 for the Treatment cohort. Since both p-values exceed 0.05, the assumption of normality cannot be rejected. Levene's test for homoscedasticity yielded F = 1.7538, p = 0.1860, confirming that group variances are statistically homogenous. Nonetheless, Welch's t-test was specified to guarantee robustness.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968"/>
        <w:gridCol w:w="4968"/>
      </w:tblGrid>
      <w:tr>
        <w:tc>
          <w:tcPr>
            <w:tcW w:type="dxa" w:w="3600"/>
            <w:shd w:val="clear" w:color="auto" w:fill="F7FAFC"/>
            <w:tcMar>
              <w:top w:w="140" w:type="dxa"/>
              <w:bottom w:w="140" w:type="dxa"/>
              <w:left w:w="160" w:type="dxa"/>
              <w:right w:w="160" w:type="dxa"/>
            </w:tcMar>
            <w:vAlign w:val="center"/>
          </w:tcPr>
          <w:p>
            <w:pPr>
              <w:jc w:val="left"/>
            </w:pPr>
            <w:r>
              <w:rPr>
                <w:rFonts w:ascii="Calibri" w:hAnsi="Calibri"/>
                <w:b/>
                <w:color w:val="1B365D"/>
                <w:sz w:val="19"/>
              </w:rPr>
              <w:t>Control Group AOV:</w:t>
            </w:r>
          </w:p>
        </w:tc>
        <w:tc>
          <w:tcPr>
            <w:tcW w:type="dxa" w:w="5760"/>
            <w:shd w:val="clear" w:color="auto" w:fill="F7FAFC"/>
            <w:tcMar>
              <w:top w:w="140" w:type="dxa"/>
              <w:bottom w:w="140" w:type="dxa"/>
              <w:left w:w="160" w:type="dxa"/>
              <w:right w:w="160" w:type="dxa"/>
            </w:tcMar>
            <w:vAlign w:val="center"/>
          </w:tcPr>
          <w:p>
            <w:pPr>
              <w:jc w:val="left"/>
            </w:pPr>
            <w:r>
              <w:rPr>
                <w:rFonts w:ascii="Calibri" w:hAnsi="Calibri"/>
                <w:b w:val="0"/>
                <w:color w:val="222222"/>
                <w:sz w:val="19"/>
              </w:rPr>
              <w:t>Mean = $85.46 (SD = $20.79, Median = $87.84, N = 211)</w:t>
            </w:r>
          </w:p>
        </w:tc>
      </w:tr>
      <w:tr>
        <w:tc>
          <w:tcPr>
            <w:tcW w:type="dxa" w:w="3600"/>
            <w:shd w:val="clear" w:color="auto" w:fill="FFFFFF"/>
            <w:tcMar>
              <w:top w:w="140" w:type="dxa"/>
              <w:bottom w:w="140" w:type="dxa"/>
              <w:left w:w="160" w:type="dxa"/>
              <w:right w:w="160" w:type="dxa"/>
            </w:tcMar>
            <w:vAlign w:val="center"/>
          </w:tcPr>
          <w:p>
            <w:pPr>
              <w:jc w:val="left"/>
            </w:pPr>
            <w:r>
              <w:rPr>
                <w:rFonts w:ascii="Calibri" w:hAnsi="Calibri"/>
                <w:b/>
                <w:color w:val="1B365D"/>
                <w:sz w:val="19"/>
              </w:rPr>
              <w:t>Treatment Group AOV:</w:t>
            </w:r>
          </w:p>
        </w:tc>
        <w:tc>
          <w:tcPr>
            <w:tcW w:type="dxa" w:w="5760"/>
            <w:shd w:val="clear" w:color="auto" w:fill="FFFFFF"/>
            <w:tcMar>
              <w:top w:w="140" w:type="dxa"/>
              <w:bottom w:w="140" w:type="dxa"/>
              <w:left w:w="160" w:type="dxa"/>
              <w:right w:w="160" w:type="dxa"/>
            </w:tcMar>
            <w:vAlign w:val="center"/>
          </w:tcPr>
          <w:p>
            <w:pPr>
              <w:jc w:val="left"/>
            </w:pPr>
            <w:r>
              <w:rPr>
                <w:rFonts w:ascii="Calibri" w:hAnsi="Calibri"/>
                <w:b w:val="0"/>
                <w:color w:val="222222"/>
                <w:sz w:val="19"/>
              </w:rPr>
              <w:t>Mean = $92.01 (SD = $22.79, Median = $92.42, N = 283)</w:t>
            </w:r>
          </w:p>
        </w:tc>
      </w:tr>
      <w:tr>
        <w:tc>
          <w:tcPr>
            <w:tcW w:type="dxa" w:w="3600"/>
            <w:shd w:val="clear" w:color="auto" w:fill="F7FAFC"/>
            <w:tcMar>
              <w:top w:w="140" w:type="dxa"/>
              <w:bottom w:w="140" w:type="dxa"/>
              <w:left w:w="160" w:type="dxa"/>
              <w:right w:w="160" w:type="dxa"/>
            </w:tcMar>
            <w:vAlign w:val="center"/>
          </w:tcPr>
          <w:p>
            <w:pPr>
              <w:jc w:val="left"/>
            </w:pPr>
            <w:r>
              <w:rPr>
                <w:rFonts w:ascii="Calibri" w:hAnsi="Calibri"/>
                <w:b/>
                <w:color w:val="1B365D"/>
                <w:sz w:val="19"/>
              </w:rPr>
              <w:t>Mean Difference (Treatment - Control):</w:t>
            </w:r>
          </w:p>
        </w:tc>
        <w:tc>
          <w:tcPr>
            <w:tcW w:type="dxa" w:w="5760"/>
            <w:shd w:val="clear" w:color="auto" w:fill="F7FAFC"/>
            <w:tcMar>
              <w:top w:w="140" w:type="dxa"/>
              <w:bottom w:w="140" w:type="dxa"/>
              <w:left w:w="160" w:type="dxa"/>
              <w:right w:w="160" w:type="dxa"/>
            </w:tcMar>
            <w:vAlign w:val="center"/>
          </w:tcPr>
          <w:p>
            <w:pPr>
              <w:jc w:val="left"/>
            </w:pPr>
            <w:r>
              <w:rPr>
                <w:rFonts w:ascii="Calibri" w:hAnsi="Calibri"/>
                <w:b w:val="0"/>
                <w:color w:val="222222"/>
                <w:sz w:val="19"/>
              </w:rPr>
              <w:t>+$6.55 USD (Standard Error = $1.97)</w:t>
            </w:r>
          </w:p>
        </w:tc>
      </w:tr>
      <w:tr>
        <w:tc>
          <w:tcPr>
            <w:tcW w:type="dxa" w:w="3600"/>
            <w:shd w:val="clear" w:color="auto" w:fill="FFFFFF"/>
            <w:tcMar>
              <w:top w:w="140" w:type="dxa"/>
              <w:bottom w:w="140" w:type="dxa"/>
              <w:left w:w="160" w:type="dxa"/>
              <w:right w:w="160" w:type="dxa"/>
            </w:tcMar>
            <w:vAlign w:val="center"/>
          </w:tcPr>
          <w:p>
            <w:pPr>
              <w:jc w:val="left"/>
            </w:pPr>
            <w:r>
              <w:rPr>
                <w:rFonts w:ascii="Calibri" w:hAnsi="Calibri"/>
                <w:b/>
                <w:color w:val="1B365D"/>
                <w:sz w:val="19"/>
              </w:rPr>
              <w:t>95% Confidence Interval for Difference:</w:t>
            </w:r>
          </w:p>
        </w:tc>
        <w:tc>
          <w:tcPr>
            <w:tcW w:type="dxa" w:w="5760"/>
            <w:shd w:val="clear" w:color="auto" w:fill="FFFFFF"/>
            <w:tcMar>
              <w:top w:w="140" w:type="dxa"/>
              <w:bottom w:w="140" w:type="dxa"/>
              <w:left w:w="160" w:type="dxa"/>
              <w:right w:w="160" w:type="dxa"/>
            </w:tcMar>
            <w:vAlign w:val="center"/>
          </w:tcPr>
          <w:p>
            <w:pPr>
              <w:jc w:val="left"/>
            </w:pPr>
            <w:r>
              <w:rPr>
                <w:rFonts w:ascii="Calibri" w:hAnsi="Calibri"/>
                <w:b w:val="0"/>
                <w:color w:val="222222"/>
                <w:sz w:val="19"/>
              </w:rPr>
              <w:t>[+$2.68, +$10.42] USD</w:t>
            </w:r>
          </w:p>
        </w:tc>
      </w:tr>
      <w:tr>
        <w:tc>
          <w:tcPr>
            <w:tcW w:type="dxa" w:w="3600"/>
            <w:shd w:val="clear" w:color="auto" w:fill="F7FAFC"/>
            <w:tcMar>
              <w:top w:w="140" w:type="dxa"/>
              <w:bottom w:w="140" w:type="dxa"/>
              <w:left w:w="160" w:type="dxa"/>
              <w:right w:w="160" w:type="dxa"/>
            </w:tcMar>
            <w:vAlign w:val="center"/>
          </w:tcPr>
          <w:p>
            <w:pPr>
              <w:jc w:val="left"/>
            </w:pPr>
            <w:r>
              <w:rPr>
                <w:rFonts w:ascii="Calibri" w:hAnsi="Calibri"/>
                <w:b/>
                <w:color w:val="1B365D"/>
                <w:sz w:val="19"/>
              </w:rPr>
              <w:t>Welch's Two-Sample t-Test:</w:t>
            </w:r>
          </w:p>
        </w:tc>
        <w:tc>
          <w:tcPr>
            <w:tcW w:type="dxa" w:w="5760"/>
            <w:shd w:val="clear" w:color="auto" w:fill="F7FAFC"/>
            <w:tcMar>
              <w:top w:w="140" w:type="dxa"/>
              <w:bottom w:w="140" w:type="dxa"/>
              <w:left w:w="160" w:type="dxa"/>
              <w:right w:w="160" w:type="dxa"/>
            </w:tcMar>
            <w:vAlign w:val="center"/>
          </w:tcPr>
          <w:p>
            <w:pPr>
              <w:jc w:val="left"/>
            </w:pPr>
            <w:r>
              <w:rPr>
                <w:rFonts w:ascii="Calibri" w:hAnsi="Calibri"/>
                <w:b w:val="0"/>
                <w:color w:val="222222"/>
                <w:sz w:val="19"/>
              </w:rPr>
              <w:t>t = 3.3240, df = 472.4, Two-Sided p = 9.5649e-04</w:t>
            </w:r>
          </w:p>
        </w:tc>
      </w:tr>
      <w:tr>
        <w:tc>
          <w:tcPr>
            <w:tcW w:type="dxa" w:w="3600"/>
            <w:shd w:val="clear" w:color="auto" w:fill="FFFFFF"/>
            <w:tcMar>
              <w:top w:w="140" w:type="dxa"/>
              <w:bottom w:w="140" w:type="dxa"/>
              <w:left w:w="160" w:type="dxa"/>
              <w:right w:w="160" w:type="dxa"/>
            </w:tcMar>
            <w:vAlign w:val="center"/>
          </w:tcPr>
          <w:p>
            <w:pPr>
              <w:jc w:val="left"/>
            </w:pPr>
            <w:r>
              <w:rPr>
                <w:rFonts w:ascii="Calibri" w:hAnsi="Calibri"/>
                <w:b/>
                <w:color w:val="1B365D"/>
                <w:sz w:val="19"/>
              </w:rPr>
              <w:t>Standardized Effect Size (Cohen's d):</w:t>
            </w:r>
          </w:p>
        </w:tc>
        <w:tc>
          <w:tcPr>
            <w:tcW w:type="dxa" w:w="5760"/>
            <w:shd w:val="clear" w:color="auto" w:fill="FFFFFF"/>
            <w:tcMar>
              <w:top w:w="140" w:type="dxa"/>
              <w:bottom w:w="140" w:type="dxa"/>
              <w:left w:w="160" w:type="dxa"/>
              <w:right w:w="160" w:type="dxa"/>
            </w:tcMar>
            <w:vAlign w:val="center"/>
          </w:tcPr>
          <w:p>
            <w:pPr>
              <w:jc w:val="left"/>
            </w:pPr>
            <w:r>
              <w:rPr>
                <w:rFonts w:ascii="Calibri" w:hAnsi="Calibri"/>
                <w:b w:val="0"/>
                <w:color w:val="222222"/>
                <w:sz w:val="19"/>
              </w:rPr>
              <w:t>d = 0.298 (Small-to-medium positive practical effect)</w:t>
            </w:r>
          </w:p>
        </w:tc>
      </w:tr>
      <w:tr>
        <w:tc>
          <w:tcPr>
            <w:tcW w:type="dxa" w:w="3600"/>
            <w:shd w:val="clear" w:color="auto" w:fill="F7FAFC"/>
            <w:tcMar>
              <w:top w:w="140" w:type="dxa"/>
              <w:bottom w:w="140" w:type="dxa"/>
              <w:left w:w="160" w:type="dxa"/>
              <w:right w:w="160" w:type="dxa"/>
            </w:tcMar>
            <w:vAlign w:val="center"/>
          </w:tcPr>
          <w:p>
            <w:pPr>
              <w:jc w:val="left"/>
            </w:pPr>
            <w:r>
              <w:rPr>
                <w:rFonts w:ascii="Calibri" w:hAnsi="Calibri"/>
                <w:b/>
                <w:color w:val="1B365D"/>
                <w:sz w:val="19"/>
              </w:rPr>
              <w:t>Non-Parametric Validation (Mann-Whitney U):</w:t>
            </w:r>
          </w:p>
        </w:tc>
        <w:tc>
          <w:tcPr>
            <w:tcW w:type="dxa" w:w="5760"/>
            <w:shd w:val="clear" w:color="auto" w:fill="F7FAFC"/>
            <w:tcMar>
              <w:top w:w="140" w:type="dxa"/>
              <w:bottom w:w="140" w:type="dxa"/>
              <w:left w:w="160" w:type="dxa"/>
              <w:right w:w="160" w:type="dxa"/>
            </w:tcMar>
            <w:vAlign w:val="center"/>
          </w:tcPr>
          <w:p>
            <w:pPr>
              <w:jc w:val="left"/>
            </w:pPr>
            <w:r>
              <w:rPr>
                <w:rFonts w:ascii="Calibri" w:hAnsi="Calibri"/>
                <w:b w:val="0"/>
                <w:color w:val="222222"/>
                <w:sz w:val="19"/>
              </w:rPr>
              <w:t>U = 34620.5, Two-Sided p = 2.4042e-03 (Reject H0)</w:t>
            </w:r>
          </w:p>
        </w:tc>
      </w:tr>
    </w:tbl>
    <w:p>
      <w:pPr>
        <w:spacing w:after="120"/>
      </w:pPr>
    </w:p>
    <w:p>
      <w:pPr>
        <w:jc w:val="center"/>
      </w:pPr>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fig1_normality_qq_plots.png"/>
                    <pic:cNvPicPr/>
                  </pic:nvPicPr>
                  <pic:blipFill>
                    <a:blip r:embed="rId9"/>
                    <a:stretch>
                      <a:fillRect/>
                    </a:stretch>
                  </pic:blipFill>
                  <pic:spPr>
                    <a:xfrm>
                      <a:off x="0" y="0"/>
                      <a:ext cx="5486400" cy="4572000"/>
                    </a:xfrm>
                    <a:prstGeom prst="rect"/>
                  </pic:spPr>
                </pic:pic>
              </a:graphicData>
            </a:graphic>
          </wp:inline>
        </w:drawing>
      </w:r>
    </w:p>
    <w:p>
      <w:pPr>
        <w:spacing w:before="80" w:after="200"/>
        <w:jc w:val="center"/>
      </w:pPr>
      <w:r>
        <w:rPr>
          <w:rFonts w:ascii="Calibri" w:hAnsi="Calibri"/>
          <w:b/>
          <w:color w:val="1B365D"/>
          <w:sz w:val="19"/>
        </w:rPr>
        <w:t xml:space="preserve">Figure 1: </w:t>
      </w:r>
      <w:r>
        <w:rPr>
          <w:rFonts w:ascii="Calibri" w:hAnsi="Calibri"/>
          <w:i/>
          <w:color w:val="505050"/>
          <w:sz w:val="19"/>
        </w:rPr>
        <w:t>Normality assessment for Average Order Value (AOV). Left panels display empirical frequency histograms overlaid with Kernel Density Estimation (KDE); right panels present normal Quantile-Quantile (Q-Q) plots confirming adherence to theoretical Gaussian distributions.</w:t>
      </w:r>
    </w:p>
    <w:p>
      <w:pPr>
        <w:jc w:val="center"/>
      </w:pPr>
      <w:r>
        <w:drawing>
          <wp:inline xmlns:a="http://schemas.openxmlformats.org/drawingml/2006/main" xmlns:pic="http://schemas.openxmlformats.org/drawingml/2006/picture">
            <wp:extent cx="5120640" cy="3840480"/>
            <wp:docPr id="2" name="Picture 2"/>
            <wp:cNvGraphicFramePr>
              <a:graphicFrameLocks noChangeAspect="1"/>
            </wp:cNvGraphicFramePr>
            <a:graphic>
              <a:graphicData uri="http://schemas.openxmlformats.org/drawingml/2006/picture">
                <pic:pic>
                  <pic:nvPicPr>
                    <pic:cNvPr id="0" name="fig2_hypothesis1_aov_ttest.png"/>
                    <pic:cNvPicPr/>
                  </pic:nvPicPr>
                  <pic:blipFill>
                    <a:blip r:embed="rId10"/>
                    <a:stretch>
                      <a:fillRect/>
                    </a:stretch>
                  </pic:blipFill>
                  <pic:spPr>
                    <a:xfrm>
                      <a:off x="0" y="0"/>
                      <a:ext cx="5120640" cy="3840480"/>
                    </a:xfrm>
                    <a:prstGeom prst="rect"/>
                  </pic:spPr>
                </pic:pic>
              </a:graphicData>
            </a:graphic>
          </wp:inline>
        </w:drawing>
      </w:r>
    </w:p>
    <w:p>
      <w:pPr>
        <w:spacing w:before="80" w:after="200"/>
        <w:jc w:val="center"/>
      </w:pPr>
      <w:r>
        <w:rPr>
          <w:rFonts w:ascii="Calibri" w:hAnsi="Calibri"/>
          <w:b/>
          <w:color w:val="1B365D"/>
          <w:sz w:val="19"/>
        </w:rPr>
        <w:t xml:space="preserve">Figure 2: </w:t>
      </w:r>
      <w:r>
        <w:rPr>
          <w:rFonts w:ascii="Calibri" w:hAnsi="Calibri"/>
          <w:i/>
          <w:color w:val="505050"/>
          <w:sz w:val="19"/>
        </w:rPr>
        <w:t>Average Order Value comparison between Control and Treatment cohorts. Violin plots illustrate kernel density outlines, overlaid with box plots indicating median (line), mean (white circle marker), and interquartile ranges. Statistical significance bracket displays Welch's t-statistic, p-value, and Cohen's d.</w:t>
      </w:r>
    </w:p>
    <w:p>
      <w:pPr>
        <w:spacing w:after="100" w:line="276" w:lineRule="auto"/>
      </w:pPr>
      <w:r>
        <w:rPr>
          <w:rFonts w:ascii="Calibri" w:hAnsi="Calibri"/>
          <w:b/>
          <w:color w:val="222222"/>
          <w:sz w:val="21"/>
        </w:rPr>
        <w:t xml:space="preserve">Decision &amp; Inference: </w:t>
      </w:r>
      <w:r>
        <w:rPr>
          <w:rFonts w:ascii="Calibri" w:hAnsi="Calibri"/>
          <w:i w:val="0"/>
          <w:color w:val="282828"/>
          <w:sz w:val="21"/>
        </w:rPr>
        <w:t>Statistical Interpretation: Because the calculated p-value (p = 9.5649e-04) is substantially lower than our alpha threshold of 0.05, we reject the null hypothesis (H0,1) and conclude that the Treatment checkout flow yields a statistically significant increase in Average Order Value. Furthermore, the 95% confidence interval spans entirely in positive territory [+$2.68, +$10.42], indicating with 95% confidence that the true population uplift is at least $2.68 per transaction. The non-parametric Mann-Whitney U test reinforces this inference (p = 2.4042e-03), eliminating any concern of distribution-induced artifacts. Cohen's d of 0.30 confirms an economically meaningful shift in customer checkout volume.</w:t>
      </w:r>
    </w:p>
    <w:p>
      <w:pPr>
        <w:pStyle w:val="Heading2"/>
        <w:keepNext/>
        <w:spacing w:before="240" w:after="80"/>
      </w:pPr>
      <w:r>
        <w:rPr>
          <w:rFonts w:ascii="Calibri" w:hAnsi="Calibri"/>
          <w:b/>
          <w:color w:val="2E6B9E"/>
          <w:sz w:val="27"/>
        </w:rPr>
        <w:t>4.2 Hypothesis 2: Independence of Conversion Across Device Categories</w:t>
      </w:r>
    </w:p>
    <w:p>
      <w:pPr>
        <w:spacing w:after="100" w:line="276" w:lineRule="auto"/>
      </w:pPr>
      <w:r>
        <w:rPr>
          <w:rFonts w:ascii="Calibri" w:hAnsi="Calibri"/>
          <w:i w:val="0"/>
          <w:color w:val="282828"/>
          <w:sz w:val="21"/>
        </w:rPr>
        <w:t>A critical operational question is whether user conversion propensity is invariant to the accessing device hardware (Desktop, Mobile, Tablet). The null hypothesis asserts that conversion rate is independent of device category (H0: P(Conv | Device) = P(Conv)). A Pearson Chi-Square Test of Independence was conducted on the 3 x 2 contingency table comprising 3,000 observations.</w:t>
      </w:r>
    </w:p>
    <w:p>
      <w:pPr>
        <w:pStyle w:val="Heading3"/>
        <w:keepNext/>
        <w:spacing w:before="160" w:after="60"/>
      </w:pPr>
      <w:r>
        <w:rPr>
          <w:rFonts w:ascii="Calibri" w:hAnsi="Calibri"/>
          <w:b/>
          <w:color w:val="3C3C3C"/>
          <w:sz w:val="23"/>
        </w:rPr>
        <w:t>Contingency Table: Observed vs Expected Frequencies</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none"/>
          <w:left w:val="none"/>
          <w:right w:val="none"/>
        </w:tblBorders>
      </w:tblPr>
      <w:tblGrid>
        <w:gridCol w:w="1987"/>
        <w:gridCol w:w="1987"/>
        <w:gridCol w:w="1987"/>
        <w:gridCol w:w="1987"/>
        <w:gridCol w:w="1987"/>
      </w:tblGrid>
      <w:tr>
        <w:tc>
          <w:tcPr>
            <w:tcW w:type="dxa" w:w="1987"/>
            <w:shd w:val="clear" w:color="auto" w:fill="1B365D"/>
            <w:tcMar>
              <w:top w:w="140" w:type="dxa"/>
              <w:bottom w:w="140" w:type="dxa"/>
              <w:left w:w="160" w:type="dxa"/>
              <w:right w:w="160" w:type="dxa"/>
            </w:tcMar>
            <w:vAlign w:val="center"/>
          </w:tcPr>
          <w:p>
            <w:pPr>
              <w:jc w:val="left"/>
            </w:pPr>
            <w:r>
              <w:rPr>
                <w:rFonts w:ascii="Calibri" w:hAnsi="Calibri"/>
                <w:b/>
                <w:color w:val="FFFFFF"/>
                <w:sz w:val="18"/>
              </w:rPr>
              <w:t>Device Category</w:t>
            </w:r>
          </w:p>
        </w:tc>
        <w:tc>
          <w:tcPr>
            <w:tcW w:type="dxa" w:w="1987"/>
            <w:shd w:val="clear" w:color="auto" w:fill="1B365D"/>
            <w:tcMar>
              <w:top w:w="140" w:type="dxa"/>
              <w:bottom w:w="140" w:type="dxa"/>
              <w:left w:w="160" w:type="dxa"/>
              <w:right w:w="160" w:type="dxa"/>
            </w:tcMar>
            <w:vAlign w:val="center"/>
          </w:tcPr>
          <w:p>
            <w:pPr>
              <w:jc w:val="left"/>
            </w:pPr>
            <w:r>
              <w:rPr>
                <w:rFonts w:ascii="Calibri" w:hAnsi="Calibri"/>
                <w:b/>
                <w:color w:val="FFFFFF"/>
                <w:sz w:val="18"/>
              </w:rPr>
              <w:t>Observed Abandoned</w:t>
            </w:r>
          </w:p>
        </w:tc>
        <w:tc>
          <w:tcPr>
            <w:tcW w:type="dxa" w:w="1987"/>
            <w:shd w:val="clear" w:color="auto" w:fill="1B365D"/>
            <w:tcMar>
              <w:top w:w="140" w:type="dxa"/>
              <w:bottom w:w="140" w:type="dxa"/>
              <w:left w:w="160" w:type="dxa"/>
              <w:right w:w="160" w:type="dxa"/>
            </w:tcMar>
            <w:vAlign w:val="center"/>
          </w:tcPr>
          <w:p>
            <w:pPr>
              <w:jc w:val="left"/>
            </w:pPr>
            <w:r>
              <w:rPr>
                <w:rFonts w:ascii="Calibri" w:hAnsi="Calibri"/>
                <w:b/>
                <w:color w:val="FFFFFF"/>
                <w:sz w:val="18"/>
              </w:rPr>
              <w:t>Expected Abandoned</w:t>
            </w:r>
          </w:p>
        </w:tc>
        <w:tc>
          <w:tcPr>
            <w:tcW w:type="dxa" w:w="1987"/>
            <w:shd w:val="clear" w:color="auto" w:fill="1B365D"/>
            <w:tcMar>
              <w:top w:w="140" w:type="dxa"/>
              <w:bottom w:w="140" w:type="dxa"/>
              <w:left w:w="160" w:type="dxa"/>
              <w:right w:w="160" w:type="dxa"/>
            </w:tcMar>
            <w:vAlign w:val="center"/>
          </w:tcPr>
          <w:p>
            <w:pPr>
              <w:jc w:val="left"/>
            </w:pPr>
            <w:r>
              <w:rPr>
                <w:rFonts w:ascii="Calibri" w:hAnsi="Calibri"/>
                <w:b/>
                <w:color w:val="FFFFFF"/>
                <w:sz w:val="18"/>
              </w:rPr>
              <w:t>Observed Converted</w:t>
            </w:r>
          </w:p>
        </w:tc>
        <w:tc>
          <w:tcPr>
            <w:tcW w:type="dxa" w:w="1987"/>
            <w:shd w:val="clear" w:color="auto" w:fill="1B365D"/>
            <w:tcMar>
              <w:top w:w="140" w:type="dxa"/>
              <w:bottom w:w="140" w:type="dxa"/>
              <w:left w:w="160" w:type="dxa"/>
              <w:right w:w="160" w:type="dxa"/>
            </w:tcMar>
            <w:vAlign w:val="center"/>
          </w:tcPr>
          <w:p>
            <w:pPr>
              <w:jc w:val="left"/>
            </w:pPr>
            <w:r>
              <w:rPr>
                <w:rFonts w:ascii="Calibri" w:hAnsi="Calibri"/>
                <w:b/>
                <w:color w:val="FFFFFF"/>
                <w:sz w:val="18"/>
              </w:rPr>
              <w:t>Expected Converted</w:t>
            </w:r>
          </w:p>
        </w:tc>
      </w:tr>
      <w:tr>
        <w:tc>
          <w:tcPr>
            <w:tcW w:type="dxa" w:w="1987"/>
            <w:shd w:val="clear" w:color="auto" w:fill="F7FAFC"/>
            <w:tcMar>
              <w:top w:w="140" w:type="dxa"/>
              <w:bottom w:w="140" w:type="dxa"/>
              <w:left w:w="160" w:type="dxa"/>
              <w:right w:w="160" w:type="dxa"/>
            </w:tcMar>
            <w:vAlign w:val="center"/>
          </w:tcPr>
          <w:p>
            <w:pPr>
              <w:jc w:val="left"/>
            </w:pPr>
            <w:r>
              <w:rPr>
                <w:rFonts w:ascii="Calibri" w:hAnsi="Calibri"/>
                <w:b/>
                <w:color w:val="222222"/>
                <w:sz w:val="18"/>
              </w:rPr>
              <w:t>Desktop (N = 1,052)</w:t>
            </w:r>
          </w:p>
        </w:tc>
        <w:tc>
          <w:tcPr>
            <w:tcW w:type="dxa" w:w="1987"/>
            <w:shd w:val="clear" w:color="auto" w:fill="F7FAFC"/>
            <w:tcMar>
              <w:top w:w="140" w:type="dxa"/>
              <w:bottom w:w="140" w:type="dxa"/>
              <w:left w:w="160" w:type="dxa"/>
              <w:right w:w="160" w:type="dxa"/>
            </w:tcMar>
            <w:vAlign w:val="center"/>
          </w:tcPr>
          <w:p>
            <w:pPr>
              <w:jc w:val="left"/>
            </w:pPr>
            <w:r>
              <w:rPr>
                <w:rFonts w:ascii="Calibri" w:hAnsi="Calibri"/>
                <w:b w:val="0"/>
                <w:color w:val="222222"/>
                <w:sz w:val="18"/>
              </w:rPr>
              <w:t>841</w:t>
            </w:r>
          </w:p>
        </w:tc>
        <w:tc>
          <w:tcPr>
            <w:tcW w:type="dxa" w:w="1987"/>
            <w:shd w:val="clear" w:color="auto" w:fill="F7FAFC"/>
            <w:tcMar>
              <w:top w:w="140" w:type="dxa"/>
              <w:bottom w:w="140" w:type="dxa"/>
              <w:left w:w="160" w:type="dxa"/>
              <w:right w:w="160" w:type="dxa"/>
            </w:tcMar>
            <w:vAlign w:val="center"/>
          </w:tcPr>
          <w:p>
            <w:pPr>
              <w:jc w:val="left"/>
            </w:pPr>
            <w:r>
              <w:rPr>
                <w:rFonts w:ascii="Calibri" w:hAnsi="Calibri"/>
                <w:b w:val="0"/>
                <w:color w:val="222222"/>
                <w:sz w:val="18"/>
              </w:rPr>
              <w:t>878.8</w:t>
            </w:r>
          </w:p>
        </w:tc>
        <w:tc>
          <w:tcPr>
            <w:tcW w:type="dxa" w:w="1987"/>
            <w:shd w:val="clear" w:color="auto" w:fill="F7FAFC"/>
            <w:tcMar>
              <w:top w:w="140" w:type="dxa"/>
              <w:bottom w:w="140" w:type="dxa"/>
              <w:left w:w="160" w:type="dxa"/>
              <w:right w:w="160" w:type="dxa"/>
            </w:tcMar>
            <w:vAlign w:val="center"/>
          </w:tcPr>
          <w:p>
            <w:pPr>
              <w:jc w:val="left"/>
            </w:pPr>
            <w:r>
              <w:rPr>
                <w:rFonts w:ascii="Calibri" w:hAnsi="Calibri"/>
                <w:b w:val="0"/>
                <w:color w:val="222222"/>
                <w:sz w:val="18"/>
              </w:rPr>
              <w:t>211 (20.06%)</w:t>
            </w:r>
          </w:p>
        </w:tc>
        <w:tc>
          <w:tcPr>
            <w:tcW w:type="dxa" w:w="1987"/>
            <w:shd w:val="clear" w:color="auto" w:fill="F7FAFC"/>
            <w:tcMar>
              <w:top w:w="140" w:type="dxa"/>
              <w:bottom w:w="140" w:type="dxa"/>
              <w:left w:w="160" w:type="dxa"/>
              <w:right w:w="160" w:type="dxa"/>
            </w:tcMar>
            <w:vAlign w:val="center"/>
          </w:tcPr>
          <w:p>
            <w:pPr>
              <w:jc w:val="left"/>
            </w:pPr>
            <w:r>
              <w:rPr>
                <w:rFonts w:ascii="Calibri" w:hAnsi="Calibri"/>
                <w:b w:val="0"/>
                <w:color w:val="222222"/>
                <w:sz w:val="18"/>
              </w:rPr>
              <w:t>173.2</w:t>
            </w:r>
          </w:p>
        </w:tc>
      </w:tr>
      <w:tr>
        <w:tc>
          <w:tcPr>
            <w:tcW w:type="dxa" w:w="1987"/>
            <w:shd w:val="clear" w:color="auto" w:fill="FFFFFF"/>
            <w:tcMar>
              <w:top w:w="140" w:type="dxa"/>
              <w:bottom w:w="140" w:type="dxa"/>
              <w:left w:w="160" w:type="dxa"/>
              <w:right w:w="160" w:type="dxa"/>
            </w:tcMar>
            <w:vAlign w:val="center"/>
          </w:tcPr>
          <w:p>
            <w:pPr>
              <w:jc w:val="left"/>
            </w:pPr>
            <w:r>
              <w:rPr>
                <w:rFonts w:ascii="Calibri" w:hAnsi="Calibri"/>
                <w:b/>
                <w:color w:val="222222"/>
                <w:sz w:val="18"/>
              </w:rPr>
              <w:t>Mobile (N = 1,659)</w:t>
            </w:r>
          </w:p>
        </w:tc>
        <w:tc>
          <w:tcPr>
            <w:tcW w:type="dxa" w:w="1987"/>
            <w:shd w:val="clear" w:color="auto" w:fill="FFFFFF"/>
            <w:tcMar>
              <w:top w:w="140" w:type="dxa"/>
              <w:bottom w:w="140" w:type="dxa"/>
              <w:left w:w="160" w:type="dxa"/>
              <w:right w:w="160" w:type="dxa"/>
            </w:tcMar>
            <w:vAlign w:val="center"/>
          </w:tcPr>
          <w:p>
            <w:pPr>
              <w:jc w:val="left"/>
            </w:pPr>
            <w:r>
              <w:rPr>
                <w:rFonts w:ascii="Calibri" w:hAnsi="Calibri"/>
                <w:b w:val="0"/>
                <w:color w:val="222222"/>
                <w:sz w:val="18"/>
              </w:rPr>
              <w:t>1,432</w:t>
            </w:r>
          </w:p>
        </w:tc>
        <w:tc>
          <w:tcPr>
            <w:tcW w:type="dxa" w:w="1987"/>
            <w:shd w:val="clear" w:color="auto" w:fill="FFFFFF"/>
            <w:tcMar>
              <w:top w:w="140" w:type="dxa"/>
              <w:bottom w:w="140" w:type="dxa"/>
              <w:left w:w="160" w:type="dxa"/>
              <w:right w:w="160" w:type="dxa"/>
            </w:tcMar>
            <w:vAlign w:val="center"/>
          </w:tcPr>
          <w:p>
            <w:pPr>
              <w:jc w:val="left"/>
            </w:pPr>
            <w:r>
              <w:rPr>
                <w:rFonts w:ascii="Calibri" w:hAnsi="Calibri"/>
                <w:b w:val="0"/>
                <w:color w:val="222222"/>
                <w:sz w:val="18"/>
              </w:rPr>
              <w:t>1385.8</w:t>
            </w:r>
          </w:p>
        </w:tc>
        <w:tc>
          <w:tcPr>
            <w:tcW w:type="dxa" w:w="1987"/>
            <w:shd w:val="clear" w:color="auto" w:fill="FFFFFF"/>
            <w:tcMar>
              <w:top w:w="140" w:type="dxa"/>
              <w:bottom w:w="140" w:type="dxa"/>
              <w:left w:w="160" w:type="dxa"/>
              <w:right w:w="160" w:type="dxa"/>
            </w:tcMar>
            <w:vAlign w:val="center"/>
          </w:tcPr>
          <w:p>
            <w:pPr>
              <w:jc w:val="left"/>
            </w:pPr>
            <w:r>
              <w:rPr>
                <w:rFonts w:ascii="Calibri" w:hAnsi="Calibri"/>
                <w:b w:val="0"/>
                <w:color w:val="222222"/>
                <w:sz w:val="18"/>
              </w:rPr>
              <w:t>227 (13.68%)</w:t>
            </w:r>
          </w:p>
        </w:tc>
        <w:tc>
          <w:tcPr>
            <w:tcW w:type="dxa" w:w="1987"/>
            <w:shd w:val="clear" w:color="auto" w:fill="FFFFFF"/>
            <w:tcMar>
              <w:top w:w="140" w:type="dxa"/>
              <w:bottom w:w="140" w:type="dxa"/>
              <w:left w:w="160" w:type="dxa"/>
              <w:right w:w="160" w:type="dxa"/>
            </w:tcMar>
            <w:vAlign w:val="center"/>
          </w:tcPr>
          <w:p>
            <w:pPr>
              <w:jc w:val="left"/>
            </w:pPr>
            <w:r>
              <w:rPr>
                <w:rFonts w:ascii="Calibri" w:hAnsi="Calibri"/>
                <w:b w:val="0"/>
                <w:color w:val="222222"/>
                <w:sz w:val="18"/>
              </w:rPr>
              <w:t>273.2</w:t>
            </w:r>
          </w:p>
        </w:tc>
      </w:tr>
      <w:tr>
        <w:tc>
          <w:tcPr>
            <w:tcW w:type="dxa" w:w="1987"/>
            <w:shd w:val="clear" w:color="auto" w:fill="F7FAFC"/>
            <w:tcMar>
              <w:top w:w="140" w:type="dxa"/>
              <w:bottom w:w="140" w:type="dxa"/>
              <w:left w:w="160" w:type="dxa"/>
              <w:right w:w="160" w:type="dxa"/>
            </w:tcMar>
            <w:vAlign w:val="center"/>
          </w:tcPr>
          <w:p>
            <w:pPr>
              <w:jc w:val="left"/>
            </w:pPr>
            <w:r>
              <w:rPr>
                <w:rFonts w:ascii="Calibri" w:hAnsi="Calibri"/>
                <w:b/>
                <w:color w:val="222222"/>
                <w:sz w:val="18"/>
              </w:rPr>
              <w:t>Tablet (N = 289)</w:t>
            </w:r>
          </w:p>
        </w:tc>
        <w:tc>
          <w:tcPr>
            <w:tcW w:type="dxa" w:w="1987"/>
            <w:shd w:val="clear" w:color="auto" w:fill="F7FAFC"/>
            <w:tcMar>
              <w:top w:w="140" w:type="dxa"/>
              <w:bottom w:w="140" w:type="dxa"/>
              <w:left w:w="160" w:type="dxa"/>
              <w:right w:w="160" w:type="dxa"/>
            </w:tcMar>
            <w:vAlign w:val="center"/>
          </w:tcPr>
          <w:p>
            <w:pPr>
              <w:jc w:val="left"/>
            </w:pPr>
            <w:r>
              <w:rPr>
                <w:rFonts w:ascii="Calibri" w:hAnsi="Calibri"/>
                <w:b w:val="0"/>
                <w:color w:val="222222"/>
                <w:sz w:val="18"/>
              </w:rPr>
              <w:t>233</w:t>
            </w:r>
          </w:p>
        </w:tc>
        <w:tc>
          <w:tcPr>
            <w:tcW w:type="dxa" w:w="1987"/>
            <w:shd w:val="clear" w:color="auto" w:fill="F7FAFC"/>
            <w:tcMar>
              <w:top w:w="140" w:type="dxa"/>
              <w:bottom w:w="140" w:type="dxa"/>
              <w:left w:w="160" w:type="dxa"/>
              <w:right w:w="160" w:type="dxa"/>
            </w:tcMar>
            <w:vAlign w:val="center"/>
          </w:tcPr>
          <w:p>
            <w:pPr>
              <w:jc w:val="left"/>
            </w:pPr>
            <w:r>
              <w:rPr>
                <w:rFonts w:ascii="Calibri" w:hAnsi="Calibri"/>
                <w:b w:val="0"/>
                <w:color w:val="222222"/>
                <w:sz w:val="18"/>
              </w:rPr>
              <w:t>241.4</w:t>
            </w:r>
          </w:p>
        </w:tc>
        <w:tc>
          <w:tcPr>
            <w:tcW w:type="dxa" w:w="1987"/>
            <w:shd w:val="clear" w:color="auto" w:fill="F7FAFC"/>
            <w:tcMar>
              <w:top w:w="140" w:type="dxa"/>
              <w:bottom w:w="140" w:type="dxa"/>
              <w:left w:w="160" w:type="dxa"/>
              <w:right w:w="160" w:type="dxa"/>
            </w:tcMar>
            <w:vAlign w:val="center"/>
          </w:tcPr>
          <w:p>
            <w:pPr>
              <w:jc w:val="left"/>
            </w:pPr>
            <w:r>
              <w:rPr>
                <w:rFonts w:ascii="Calibri" w:hAnsi="Calibri"/>
                <w:b w:val="0"/>
                <w:color w:val="222222"/>
                <w:sz w:val="18"/>
              </w:rPr>
              <w:t>56 (19.38%)</w:t>
            </w:r>
          </w:p>
        </w:tc>
        <w:tc>
          <w:tcPr>
            <w:tcW w:type="dxa" w:w="1987"/>
            <w:shd w:val="clear" w:color="auto" w:fill="F7FAFC"/>
            <w:tcMar>
              <w:top w:w="140" w:type="dxa"/>
              <w:bottom w:w="140" w:type="dxa"/>
              <w:left w:w="160" w:type="dxa"/>
              <w:right w:w="160" w:type="dxa"/>
            </w:tcMar>
            <w:vAlign w:val="center"/>
          </w:tcPr>
          <w:p>
            <w:pPr>
              <w:jc w:val="left"/>
            </w:pPr>
            <w:r>
              <w:rPr>
                <w:rFonts w:ascii="Calibri" w:hAnsi="Calibri"/>
                <w:b w:val="0"/>
                <w:color w:val="222222"/>
                <w:sz w:val="18"/>
              </w:rPr>
              <w:t>47.6</w:t>
            </w:r>
          </w:p>
        </w:tc>
      </w:tr>
    </w:tbl>
    <w:p>
      <w:pPr>
        <w:spacing w:after="120"/>
      </w:pP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968"/>
        <w:gridCol w:w="4968"/>
      </w:tblGrid>
      <w:tr>
        <w:tc>
          <w:tcPr>
            <w:tcW w:type="dxa" w:w="3600"/>
            <w:shd w:val="clear" w:color="auto" w:fill="F7FAFC"/>
            <w:tcMar>
              <w:top w:w="140" w:type="dxa"/>
              <w:bottom w:w="140" w:type="dxa"/>
              <w:left w:w="160" w:type="dxa"/>
              <w:right w:w="160" w:type="dxa"/>
            </w:tcMar>
            <w:vAlign w:val="center"/>
          </w:tcPr>
          <w:p>
            <w:pPr>
              <w:jc w:val="left"/>
            </w:pPr>
            <w:r>
              <w:rPr>
                <w:rFonts w:ascii="Calibri" w:hAnsi="Calibri"/>
                <w:b/>
                <w:color w:val="1B365D"/>
                <w:sz w:val="19"/>
              </w:rPr>
              <w:t>Pearson Chi-Square Test Statistic (chi^2):</w:t>
            </w:r>
          </w:p>
        </w:tc>
        <w:tc>
          <w:tcPr>
            <w:tcW w:type="dxa" w:w="5760"/>
            <w:shd w:val="clear" w:color="auto" w:fill="F7FAFC"/>
            <w:tcMar>
              <w:top w:w="140" w:type="dxa"/>
              <w:bottom w:w="140" w:type="dxa"/>
              <w:left w:w="160" w:type="dxa"/>
              <w:right w:w="160" w:type="dxa"/>
            </w:tcMar>
            <w:vAlign w:val="center"/>
          </w:tcPr>
          <w:p>
            <w:pPr>
              <w:jc w:val="left"/>
            </w:pPr>
            <w:r>
              <w:rPr>
                <w:rFonts w:ascii="Calibri" w:hAnsi="Calibri"/>
                <w:b w:val="0"/>
                <w:color w:val="222222"/>
                <w:sz w:val="19"/>
              </w:rPr>
              <w:t>chi^2 = 20.9848</w:t>
            </w:r>
          </w:p>
        </w:tc>
      </w:tr>
      <w:tr>
        <w:tc>
          <w:tcPr>
            <w:tcW w:type="dxa" w:w="3600"/>
            <w:shd w:val="clear" w:color="auto" w:fill="FFFFFF"/>
            <w:tcMar>
              <w:top w:w="140" w:type="dxa"/>
              <w:bottom w:w="140" w:type="dxa"/>
              <w:left w:w="160" w:type="dxa"/>
              <w:right w:w="160" w:type="dxa"/>
            </w:tcMar>
            <w:vAlign w:val="center"/>
          </w:tcPr>
          <w:p>
            <w:pPr>
              <w:jc w:val="left"/>
            </w:pPr>
            <w:r>
              <w:rPr>
                <w:rFonts w:ascii="Calibri" w:hAnsi="Calibri"/>
                <w:b/>
                <w:color w:val="1B365D"/>
                <w:sz w:val="19"/>
              </w:rPr>
              <w:t>Degrees of Freedom (df):</w:t>
            </w:r>
          </w:p>
        </w:tc>
        <w:tc>
          <w:tcPr>
            <w:tcW w:type="dxa" w:w="5760"/>
            <w:shd w:val="clear" w:color="auto" w:fill="FFFFFF"/>
            <w:tcMar>
              <w:top w:w="140" w:type="dxa"/>
              <w:bottom w:w="140" w:type="dxa"/>
              <w:left w:w="160" w:type="dxa"/>
              <w:right w:w="160" w:type="dxa"/>
            </w:tcMar>
            <w:vAlign w:val="center"/>
          </w:tcPr>
          <w:p>
            <w:pPr>
              <w:jc w:val="left"/>
            </w:pPr>
            <w:r>
              <w:rPr>
                <w:rFonts w:ascii="Calibri" w:hAnsi="Calibri"/>
                <w:b w:val="0"/>
                <w:color w:val="222222"/>
                <w:sz w:val="19"/>
              </w:rPr>
              <w:t>df = 2 ((rows - 1) x (cols - 1))</w:t>
            </w:r>
          </w:p>
        </w:tc>
      </w:tr>
      <w:tr>
        <w:tc>
          <w:tcPr>
            <w:tcW w:type="dxa" w:w="3600"/>
            <w:shd w:val="clear" w:color="auto" w:fill="F7FAFC"/>
            <w:tcMar>
              <w:top w:w="140" w:type="dxa"/>
              <w:bottom w:w="140" w:type="dxa"/>
              <w:left w:w="160" w:type="dxa"/>
              <w:right w:w="160" w:type="dxa"/>
            </w:tcMar>
            <w:vAlign w:val="center"/>
          </w:tcPr>
          <w:p>
            <w:pPr>
              <w:jc w:val="left"/>
            </w:pPr>
            <w:r>
              <w:rPr>
                <w:rFonts w:ascii="Calibri" w:hAnsi="Calibri"/>
                <w:b/>
                <w:color w:val="1B365D"/>
                <w:sz w:val="19"/>
              </w:rPr>
              <w:t>Asymptotic p-Value:</w:t>
            </w:r>
          </w:p>
        </w:tc>
        <w:tc>
          <w:tcPr>
            <w:tcW w:type="dxa" w:w="5760"/>
            <w:shd w:val="clear" w:color="auto" w:fill="F7FAFC"/>
            <w:tcMar>
              <w:top w:w="140" w:type="dxa"/>
              <w:bottom w:w="140" w:type="dxa"/>
              <w:left w:w="160" w:type="dxa"/>
              <w:right w:w="160" w:type="dxa"/>
            </w:tcMar>
            <w:vAlign w:val="center"/>
          </w:tcPr>
          <w:p>
            <w:pPr>
              <w:jc w:val="left"/>
            </w:pPr>
            <w:r>
              <w:rPr>
                <w:rFonts w:ascii="Calibri" w:hAnsi="Calibri"/>
                <w:b w:val="0"/>
                <w:color w:val="222222"/>
                <w:sz w:val="19"/>
              </w:rPr>
              <w:t>p = 2.7746e-05 (p &lt; 0.001)</w:t>
            </w:r>
          </w:p>
        </w:tc>
      </w:tr>
      <w:tr>
        <w:tc>
          <w:tcPr>
            <w:tcW w:type="dxa" w:w="3600"/>
            <w:shd w:val="clear" w:color="auto" w:fill="FFFFFF"/>
            <w:tcMar>
              <w:top w:w="140" w:type="dxa"/>
              <w:bottom w:w="140" w:type="dxa"/>
              <w:left w:w="160" w:type="dxa"/>
              <w:right w:w="160" w:type="dxa"/>
            </w:tcMar>
            <w:vAlign w:val="center"/>
          </w:tcPr>
          <w:p>
            <w:pPr>
              <w:jc w:val="left"/>
            </w:pPr>
            <w:r>
              <w:rPr>
                <w:rFonts w:ascii="Calibri" w:hAnsi="Calibri"/>
                <w:b/>
                <w:color w:val="1B365D"/>
                <w:sz w:val="19"/>
              </w:rPr>
              <w:t>Effect Size Metric (Cramer's V):</w:t>
            </w:r>
          </w:p>
        </w:tc>
        <w:tc>
          <w:tcPr>
            <w:tcW w:type="dxa" w:w="5760"/>
            <w:shd w:val="clear" w:color="auto" w:fill="FFFFFF"/>
            <w:tcMar>
              <w:top w:w="140" w:type="dxa"/>
              <w:bottom w:w="140" w:type="dxa"/>
              <w:left w:w="160" w:type="dxa"/>
              <w:right w:w="160" w:type="dxa"/>
            </w:tcMar>
            <w:vAlign w:val="center"/>
          </w:tcPr>
          <w:p>
            <w:pPr>
              <w:jc w:val="left"/>
            </w:pPr>
            <w:r>
              <w:rPr>
                <w:rFonts w:ascii="Calibri" w:hAnsi="Calibri"/>
                <w:b w:val="0"/>
                <w:color w:val="222222"/>
                <w:sz w:val="19"/>
              </w:rPr>
              <w:t>V = 0.0836 (Moderate categorical association)</w:t>
            </w:r>
          </w:p>
        </w:tc>
      </w:tr>
      <w:tr>
        <w:tc>
          <w:tcPr>
            <w:tcW w:type="dxa" w:w="3600"/>
            <w:shd w:val="clear" w:color="auto" w:fill="F7FAFC"/>
            <w:tcMar>
              <w:top w:w="140" w:type="dxa"/>
              <w:bottom w:w="140" w:type="dxa"/>
              <w:left w:w="160" w:type="dxa"/>
              <w:right w:w="160" w:type="dxa"/>
            </w:tcMar>
            <w:vAlign w:val="center"/>
          </w:tcPr>
          <w:p>
            <w:pPr>
              <w:jc w:val="left"/>
            </w:pPr>
            <w:r>
              <w:rPr>
                <w:rFonts w:ascii="Calibri" w:hAnsi="Calibri"/>
                <w:b/>
                <w:color w:val="1B365D"/>
                <w:sz w:val="19"/>
              </w:rPr>
              <w:t>Cochran's Criterion Validation:</w:t>
            </w:r>
          </w:p>
        </w:tc>
        <w:tc>
          <w:tcPr>
            <w:tcW w:type="dxa" w:w="5760"/>
            <w:shd w:val="clear" w:color="auto" w:fill="F7FAFC"/>
            <w:tcMar>
              <w:top w:w="140" w:type="dxa"/>
              <w:bottom w:w="140" w:type="dxa"/>
              <w:left w:w="160" w:type="dxa"/>
              <w:right w:w="160" w:type="dxa"/>
            </w:tcMar>
            <w:vAlign w:val="center"/>
          </w:tcPr>
          <w:p>
            <w:pPr>
              <w:jc w:val="left"/>
            </w:pPr>
            <w:r>
              <w:rPr>
                <w:rFonts w:ascii="Calibri" w:hAnsi="Calibri"/>
                <w:b w:val="0"/>
                <w:color w:val="222222"/>
                <w:sz w:val="19"/>
              </w:rPr>
              <w:t>All expected cell frequencies E_ij &gt;= 47.6 (Exceeds minimum requirement of 5)</w:t>
            </w:r>
          </w:p>
        </w:tc>
      </w:tr>
    </w:tbl>
    <w:p>
      <w:pPr>
        <w:spacing w:after="120"/>
      </w:pPr>
    </w:p>
    <w:p>
      <w:pPr>
        <w:jc w:val="center"/>
      </w:pPr>
      <w:r>
        <w:drawing>
          <wp:inline xmlns:a="http://schemas.openxmlformats.org/drawingml/2006/main" xmlns:pic="http://schemas.openxmlformats.org/drawingml/2006/picture">
            <wp:extent cx="5669280" cy="2024743"/>
            <wp:docPr id="3" name="Picture 3"/>
            <wp:cNvGraphicFramePr>
              <a:graphicFrameLocks noChangeAspect="1"/>
            </wp:cNvGraphicFramePr>
            <a:graphic>
              <a:graphicData uri="http://schemas.openxmlformats.org/drawingml/2006/picture">
                <pic:pic>
                  <pic:nvPicPr>
                    <pic:cNvPr id="0" name="fig3_hypothesis2_chisquare.png"/>
                    <pic:cNvPicPr/>
                  </pic:nvPicPr>
                  <pic:blipFill>
                    <a:blip r:embed="rId11"/>
                    <a:stretch>
                      <a:fillRect/>
                    </a:stretch>
                  </pic:blipFill>
                  <pic:spPr>
                    <a:xfrm>
                      <a:off x="0" y="0"/>
                      <a:ext cx="5669280" cy="2024743"/>
                    </a:xfrm>
                    <a:prstGeom prst="rect"/>
                  </pic:spPr>
                </pic:pic>
              </a:graphicData>
            </a:graphic>
          </wp:inline>
        </w:drawing>
      </w:r>
    </w:p>
    <w:p>
      <w:pPr>
        <w:spacing w:before="80" w:after="200"/>
        <w:jc w:val="center"/>
      </w:pPr>
      <w:r>
        <w:rPr>
          <w:rFonts w:ascii="Calibri" w:hAnsi="Calibri"/>
          <w:b/>
          <w:color w:val="1B365D"/>
          <w:sz w:val="19"/>
        </w:rPr>
        <w:t xml:space="preserve">Figure 3: </w:t>
      </w:r>
      <w:r>
        <w:rPr>
          <w:rFonts w:ascii="Calibri" w:hAnsi="Calibri"/>
          <w:i/>
          <w:color w:val="505050"/>
          <w:sz w:val="19"/>
        </w:rPr>
        <w:t>Chi-Square analysis of device category versus conversion rate. Left panel displays observed conversion percentages across hardware classes; right panel illustrates the standardized Pearson residuals heatmap, highlighting significant over-performance on Desktop and under-performance on Mobile.</w:t>
      </w:r>
    </w:p>
    <w:p>
      <w:pPr>
        <w:spacing w:after="100" w:line="276" w:lineRule="auto"/>
      </w:pPr>
      <w:r>
        <w:rPr>
          <w:rFonts w:ascii="Calibri" w:hAnsi="Calibri"/>
          <w:b/>
          <w:color w:val="222222"/>
          <w:sz w:val="21"/>
        </w:rPr>
        <w:t xml:space="preserve">Decision &amp; Inference: </w:t>
      </w:r>
      <w:r>
        <w:rPr>
          <w:rFonts w:ascii="Calibri" w:hAnsi="Calibri"/>
          <w:i w:val="0"/>
          <w:color w:val="282828"/>
          <w:sz w:val="21"/>
        </w:rPr>
        <w:t>Statistical Interpretation: With chi^2(2) = 20.98 and p = 2.77e-05, we emphatically reject the null hypothesis (H0,2) of independence. Inspection of standardized Pearson residuals reveals the operational mechanism: Desktop users convert at 20.06% (residual = +2.87, indicating substantial over-performance relative to independence), whereas Mobile users convert at only 13.68% (residual = -2.79, indicating severe under-performance). This identifies a crucial digital bottleneck: mobile visitors face disproportionate friction during checkout.</w:t>
      </w:r>
    </w:p>
    <w:p>
      <w:pPr>
        <w:pStyle w:val="Heading2"/>
        <w:keepNext/>
        <w:spacing w:before="240" w:after="80"/>
      </w:pPr>
      <w:r>
        <w:rPr>
          <w:rFonts w:ascii="Calibri" w:hAnsi="Calibri"/>
          <w:b/>
          <w:color w:val="2E6B9E"/>
          <w:sz w:val="27"/>
        </w:rPr>
        <w:t>4.3 Hypothesis 3: Multi-Channel Marketing Impact on Session Duration</w:t>
      </w:r>
    </w:p>
    <w:p>
      <w:pPr>
        <w:spacing w:after="100" w:line="276" w:lineRule="auto"/>
      </w:pPr>
      <w:r>
        <w:rPr>
          <w:rFonts w:ascii="Calibri" w:hAnsi="Calibri"/>
          <w:i w:val="0"/>
          <w:color w:val="282828"/>
          <w:sz w:val="21"/>
        </w:rPr>
        <w:t>User engagement (measured by continuous session duration in minutes) was compared across four primary traffic acquisition channels: Email Campaign, Organic Search, Paid Search, and Social Media. The null hypothesis posits equal mean engagement across all channels (H0: mu_Email = mu_Organic = mu_Paid = mu_Social). A One-Way Analysis of Variance (ANOVA) was performed, followed by Tukey's HSD post-hoc procedure.</w:t>
      </w:r>
    </w:p>
    <w:p>
      <w:pPr>
        <w:pStyle w:val="Heading3"/>
        <w:keepNext/>
        <w:spacing w:before="160" w:after="60"/>
      </w:pPr>
      <w:r>
        <w:rPr>
          <w:rFonts w:ascii="Calibri" w:hAnsi="Calibri"/>
          <w:b/>
          <w:color w:val="3C3C3C"/>
          <w:sz w:val="23"/>
        </w:rPr>
        <w:t>Descriptive Statistics by Traffic Acquisition Channel</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none"/>
          <w:left w:val="none"/>
          <w:right w:val="none"/>
        </w:tblBorders>
      </w:tblPr>
      <w:tblGrid>
        <w:gridCol w:w="1987"/>
        <w:gridCol w:w="1987"/>
        <w:gridCol w:w="1987"/>
        <w:gridCol w:w="1987"/>
        <w:gridCol w:w="1987"/>
      </w:tblGrid>
      <w:tr>
        <w:tc>
          <w:tcPr>
            <w:tcW w:type="dxa" w:w="1987"/>
            <w:shd w:val="clear" w:color="auto" w:fill="1B365D"/>
            <w:tcMar>
              <w:top w:w="140" w:type="dxa"/>
              <w:bottom w:w="140" w:type="dxa"/>
              <w:left w:w="160" w:type="dxa"/>
              <w:right w:w="160" w:type="dxa"/>
            </w:tcMar>
            <w:vAlign w:val="center"/>
          </w:tcPr>
          <w:p>
            <w:pPr>
              <w:jc w:val="left"/>
            </w:pPr>
            <w:r>
              <w:rPr>
                <w:rFonts w:ascii="Calibri" w:hAnsi="Calibri"/>
                <w:b/>
                <w:color w:val="FFFFFF"/>
                <w:sz w:val="18"/>
              </w:rPr>
              <w:t>Acquisition Channel</w:t>
            </w:r>
          </w:p>
        </w:tc>
        <w:tc>
          <w:tcPr>
            <w:tcW w:type="dxa" w:w="1987"/>
            <w:shd w:val="clear" w:color="auto" w:fill="1B365D"/>
            <w:tcMar>
              <w:top w:w="140" w:type="dxa"/>
              <w:bottom w:w="140" w:type="dxa"/>
              <w:left w:w="160" w:type="dxa"/>
              <w:right w:w="160" w:type="dxa"/>
            </w:tcMar>
            <w:vAlign w:val="center"/>
          </w:tcPr>
          <w:p>
            <w:pPr>
              <w:jc w:val="left"/>
            </w:pPr>
            <w:r>
              <w:rPr>
                <w:rFonts w:ascii="Calibri" w:hAnsi="Calibri"/>
                <w:b/>
                <w:color w:val="FFFFFF"/>
                <w:sz w:val="18"/>
              </w:rPr>
              <w:t>Sample Size (N)</w:t>
            </w:r>
          </w:p>
        </w:tc>
        <w:tc>
          <w:tcPr>
            <w:tcW w:type="dxa" w:w="1987"/>
            <w:shd w:val="clear" w:color="auto" w:fill="1B365D"/>
            <w:tcMar>
              <w:top w:w="140" w:type="dxa"/>
              <w:bottom w:w="140" w:type="dxa"/>
              <w:left w:w="160" w:type="dxa"/>
              <w:right w:w="160" w:type="dxa"/>
            </w:tcMar>
            <w:vAlign w:val="center"/>
          </w:tcPr>
          <w:p>
            <w:pPr>
              <w:jc w:val="left"/>
            </w:pPr>
            <w:r>
              <w:rPr>
                <w:rFonts w:ascii="Calibri" w:hAnsi="Calibri"/>
                <w:b/>
                <w:color w:val="FFFFFF"/>
                <w:sz w:val="18"/>
              </w:rPr>
              <w:t>Mean Duration (Mins)</w:t>
            </w:r>
          </w:p>
        </w:tc>
        <w:tc>
          <w:tcPr>
            <w:tcW w:type="dxa" w:w="1987"/>
            <w:shd w:val="clear" w:color="auto" w:fill="1B365D"/>
            <w:tcMar>
              <w:top w:w="140" w:type="dxa"/>
              <w:bottom w:w="140" w:type="dxa"/>
              <w:left w:w="160" w:type="dxa"/>
              <w:right w:w="160" w:type="dxa"/>
            </w:tcMar>
            <w:vAlign w:val="center"/>
          </w:tcPr>
          <w:p>
            <w:pPr>
              <w:jc w:val="left"/>
            </w:pPr>
            <w:r>
              <w:rPr>
                <w:rFonts w:ascii="Calibri" w:hAnsi="Calibri"/>
                <w:b/>
                <w:color w:val="FFFFFF"/>
                <w:sz w:val="18"/>
              </w:rPr>
              <w:t>Std. Deviation</w:t>
            </w:r>
          </w:p>
        </w:tc>
        <w:tc>
          <w:tcPr>
            <w:tcW w:type="dxa" w:w="1987"/>
            <w:shd w:val="clear" w:color="auto" w:fill="1B365D"/>
            <w:tcMar>
              <w:top w:w="140" w:type="dxa"/>
              <w:bottom w:w="140" w:type="dxa"/>
              <w:left w:w="160" w:type="dxa"/>
              <w:right w:w="160" w:type="dxa"/>
            </w:tcMar>
            <w:vAlign w:val="center"/>
          </w:tcPr>
          <w:p>
            <w:pPr>
              <w:jc w:val="left"/>
            </w:pPr>
            <w:r>
              <w:rPr>
                <w:rFonts w:ascii="Calibri" w:hAnsi="Calibri"/>
                <w:b/>
                <w:color w:val="FFFFFF"/>
                <w:sz w:val="18"/>
              </w:rPr>
              <w:t>Median Duration</w:t>
            </w:r>
          </w:p>
        </w:tc>
      </w:tr>
      <w:tr>
        <w:tc>
          <w:tcPr>
            <w:tcW w:type="dxa" w:w="1987"/>
            <w:shd w:val="clear" w:color="auto" w:fill="F7FAFC"/>
            <w:tcMar>
              <w:top w:w="140" w:type="dxa"/>
              <w:bottom w:w="140" w:type="dxa"/>
              <w:left w:w="160" w:type="dxa"/>
              <w:right w:w="160" w:type="dxa"/>
            </w:tcMar>
            <w:vAlign w:val="center"/>
          </w:tcPr>
          <w:p>
            <w:pPr>
              <w:jc w:val="left"/>
            </w:pPr>
            <w:r>
              <w:rPr>
                <w:rFonts w:ascii="Calibri" w:hAnsi="Calibri"/>
                <w:b/>
                <w:color w:val="222222"/>
                <w:sz w:val="18"/>
              </w:rPr>
              <w:t>Email Campaign</w:t>
            </w:r>
          </w:p>
        </w:tc>
        <w:tc>
          <w:tcPr>
            <w:tcW w:type="dxa" w:w="1987"/>
            <w:shd w:val="clear" w:color="auto" w:fill="F7FAFC"/>
            <w:tcMar>
              <w:top w:w="140" w:type="dxa"/>
              <w:bottom w:w="140" w:type="dxa"/>
              <w:left w:w="160" w:type="dxa"/>
              <w:right w:w="160" w:type="dxa"/>
            </w:tcMar>
            <w:vAlign w:val="center"/>
          </w:tcPr>
          <w:p>
            <w:pPr>
              <w:jc w:val="left"/>
            </w:pPr>
            <w:r>
              <w:rPr>
                <w:rFonts w:ascii="Calibri" w:hAnsi="Calibri"/>
                <w:b w:val="0"/>
                <w:color w:val="222222"/>
                <w:sz w:val="18"/>
              </w:rPr>
              <w:t>573</w:t>
            </w:r>
          </w:p>
        </w:tc>
        <w:tc>
          <w:tcPr>
            <w:tcW w:type="dxa" w:w="1987"/>
            <w:shd w:val="clear" w:color="auto" w:fill="F7FAFC"/>
            <w:tcMar>
              <w:top w:w="140" w:type="dxa"/>
              <w:bottom w:w="140" w:type="dxa"/>
              <w:left w:w="160" w:type="dxa"/>
              <w:right w:w="160" w:type="dxa"/>
            </w:tcMar>
            <w:vAlign w:val="center"/>
          </w:tcPr>
          <w:p>
            <w:pPr>
              <w:jc w:val="left"/>
            </w:pPr>
            <w:r>
              <w:rPr>
                <w:rFonts w:ascii="Calibri" w:hAnsi="Calibri"/>
                <w:b w:val="0"/>
                <w:color w:val="222222"/>
                <w:sz w:val="18"/>
              </w:rPr>
              <w:t>6.71 mins</w:t>
            </w:r>
          </w:p>
        </w:tc>
        <w:tc>
          <w:tcPr>
            <w:tcW w:type="dxa" w:w="1987"/>
            <w:shd w:val="clear" w:color="auto" w:fill="F7FAFC"/>
            <w:tcMar>
              <w:top w:w="140" w:type="dxa"/>
              <w:bottom w:w="140" w:type="dxa"/>
              <w:left w:w="160" w:type="dxa"/>
              <w:right w:w="160" w:type="dxa"/>
            </w:tcMar>
            <w:vAlign w:val="center"/>
          </w:tcPr>
          <w:p>
            <w:pPr>
              <w:jc w:val="left"/>
            </w:pPr>
            <w:r>
              <w:rPr>
                <w:rFonts w:ascii="Calibri" w:hAnsi="Calibri"/>
                <w:b w:val="0"/>
                <w:color w:val="222222"/>
                <w:sz w:val="18"/>
              </w:rPr>
              <w:t>2.89</w:t>
            </w:r>
          </w:p>
        </w:tc>
        <w:tc>
          <w:tcPr>
            <w:tcW w:type="dxa" w:w="1987"/>
            <w:shd w:val="clear" w:color="auto" w:fill="F7FAFC"/>
            <w:tcMar>
              <w:top w:w="140" w:type="dxa"/>
              <w:bottom w:w="140" w:type="dxa"/>
              <w:left w:w="160" w:type="dxa"/>
              <w:right w:w="160" w:type="dxa"/>
            </w:tcMar>
            <w:vAlign w:val="center"/>
          </w:tcPr>
          <w:p>
            <w:pPr>
              <w:jc w:val="left"/>
            </w:pPr>
            <w:r>
              <w:rPr>
                <w:rFonts w:ascii="Calibri" w:hAnsi="Calibri"/>
                <w:b w:val="0"/>
                <w:color w:val="222222"/>
                <w:sz w:val="18"/>
              </w:rPr>
              <w:t>6.22 mins</w:t>
            </w:r>
          </w:p>
        </w:tc>
      </w:tr>
      <w:tr>
        <w:tc>
          <w:tcPr>
            <w:tcW w:type="dxa" w:w="1987"/>
            <w:shd w:val="clear" w:color="auto" w:fill="FFFFFF"/>
            <w:tcMar>
              <w:top w:w="140" w:type="dxa"/>
              <w:bottom w:w="140" w:type="dxa"/>
              <w:left w:w="160" w:type="dxa"/>
              <w:right w:w="160" w:type="dxa"/>
            </w:tcMar>
            <w:vAlign w:val="center"/>
          </w:tcPr>
          <w:p>
            <w:pPr>
              <w:jc w:val="left"/>
            </w:pPr>
            <w:r>
              <w:rPr>
                <w:rFonts w:ascii="Calibri" w:hAnsi="Calibri"/>
                <w:b/>
                <w:color w:val="222222"/>
                <w:sz w:val="18"/>
              </w:rPr>
              <w:t>Organic Search</w:t>
            </w:r>
          </w:p>
        </w:tc>
        <w:tc>
          <w:tcPr>
            <w:tcW w:type="dxa" w:w="1987"/>
            <w:shd w:val="clear" w:color="auto" w:fill="FFFFFF"/>
            <w:tcMar>
              <w:top w:w="140" w:type="dxa"/>
              <w:bottom w:w="140" w:type="dxa"/>
              <w:left w:w="160" w:type="dxa"/>
              <w:right w:w="160" w:type="dxa"/>
            </w:tcMar>
            <w:vAlign w:val="center"/>
          </w:tcPr>
          <w:p>
            <w:pPr>
              <w:jc w:val="left"/>
            </w:pPr>
            <w:r>
              <w:rPr>
                <w:rFonts w:ascii="Calibri" w:hAnsi="Calibri"/>
                <w:b w:val="0"/>
                <w:color w:val="222222"/>
                <w:sz w:val="18"/>
              </w:rPr>
              <w:t>927</w:t>
            </w:r>
          </w:p>
        </w:tc>
        <w:tc>
          <w:tcPr>
            <w:tcW w:type="dxa" w:w="1987"/>
            <w:shd w:val="clear" w:color="auto" w:fill="FFFFFF"/>
            <w:tcMar>
              <w:top w:w="140" w:type="dxa"/>
              <w:bottom w:w="140" w:type="dxa"/>
              <w:left w:w="160" w:type="dxa"/>
              <w:right w:w="160" w:type="dxa"/>
            </w:tcMar>
            <w:vAlign w:val="center"/>
          </w:tcPr>
          <w:p>
            <w:pPr>
              <w:jc w:val="left"/>
            </w:pPr>
            <w:r>
              <w:rPr>
                <w:rFonts w:ascii="Calibri" w:hAnsi="Calibri"/>
                <w:b w:val="0"/>
                <w:color w:val="222222"/>
                <w:sz w:val="18"/>
              </w:rPr>
              <w:t>5.54 mins</w:t>
            </w:r>
          </w:p>
        </w:tc>
        <w:tc>
          <w:tcPr>
            <w:tcW w:type="dxa" w:w="1987"/>
            <w:shd w:val="clear" w:color="auto" w:fill="FFFFFF"/>
            <w:tcMar>
              <w:top w:w="140" w:type="dxa"/>
              <w:bottom w:w="140" w:type="dxa"/>
              <w:left w:w="160" w:type="dxa"/>
              <w:right w:w="160" w:type="dxa"/>
            </w:tcMar>
            <w:vAlign w:val="center"/>
          </w:tcPr>
          <w:p>
            <w:pPr>
              <w:jc w:val="left"/>
            </w:pPr>
            <w:r>
              <w:rPr>
                <w:rFonts w:ascii="Calibri" w:hAnsi="Calibri"/>
                <w:b w:val="0"/>
                <w:color w:val="222222"/>
                <w:sz w:val="18"/>
              </w:rPr>
              <w:t>2.46</w:t>
            </w:r>
          </w:p>
        </w:tc>
        <w:tc>
          <w:tcPr>
            <w:tcW w:type="dxa" w:w="1987"/>
            <w:shd w:val="clear" w:color="auto" w:fill="FFFFFF"/>
            <w:tcMar>
              <w:top w:w="140" w:type="dxa"/>
              <w:bottom w:w="140" w:type="dxa"/>
              <w:left w:w="160" w:type="dxa"/>
              <w:right w:w="160" w:type="dxa"/>
            </w:tcMar>
            <w:vAlign w:val="center"/>
          </w:tcPr>
          <w:p>
            <w:pPr>
              <w:jc w:val="left"/>
            </w:pPr>
            <w:r>
              <w:rPr>
                <w:rFonts w:ascii="Calibri" w:hAnsi="Calibri"/>
                <w:b w:val="0"/>
                <w:color w:val="222222"/>
                <w:sz w:val="18"/>
              </w:rPr>
              <w:t>5.19 mins</w:t>
            </w:r>
          </w:p>
        </w:tc>
      </w:tr>
      <w:tr>
        <w:tc>
          <w:tcPr>
            <w:tcW w:type="dxa" w:w="1987"/>
            <w:shd w:val="clear" w:color="auto" w:fill="F7FAFC"/>
            <w:tcMar>
              <w:top w:w="140" w:type="dxa"/>
              <w:bottom w:w="140" w:type="dxa"/>
              <w:left w:w="160" w:type="dxa"/>
              <w:right w:w="160" w:type="dxa"/>
            </w:tcMar>
            <w:vAlign w:val="center"/>
          </w:tcPr>
          <w:p>
            <w:pPr>
              <w:jc w:val="left"/>
            </w:pPr>
            <w:r>
              <w:rPr>
                <w:rFonts w:ascii="Calibri" w:hAnsi="Calibri"/>
                <w:b/>
                <w:color w:val="222222"/>
                <w:sz w:val="18"/>
              </w:rPr>
              <w:t>Paid Search</w:t>
            </w:r>
          </w:p>
        </w:tc>
        <w:tc>
          <w:tcPr>
            <w:tcW w:type="dxa" w:w="1987"/>
            <w:shd w:val="clear" w:color="auto" w:fill="F7FAFC"/>
            <w:tcMar>
              <w:top w:w="140" w:type="dxa"/>
              <w:bottom w:w="140" w:type="dxa"/>
              <w:left w:w="160" w:type="dxa"/>
              <w:right w:w="160" w:type="dxa"/>
            </w:tcMar>
            <w:vAlign w:val="center"/>
          </w:tcPr>
          <w:p>
            <w:pPr>
              <w:jc w:val="left"/>
            </w:pPr>
            <w:r>
              <w:rPr>
                <w:rFonts w:ascii="Calibri" w:hAnsi="Calibri"/>
                <w:b w:val="0"/>
                <w:color w:val="222222"/>
                <w:sz w:val="18"/>
              </w:rPr>
              <w:t>804</w:t>
            </w:r>
          </w:p>
        </w:tc>
        <w:tc>
          <w:tcPr>
            <w:tcW w:type="dxa" w:w="1987"/>
            <w:shd w:val="clear" w:color="auto" w:fill="F7FAFC"/>
            <w:tcMar>
              <w:top w:w="140" w:type="dxa"/>
              <w:bottom w:w="140" w:type="dxa"/>
              <w:left w:w="160" w:type="dxa"/>
              <w:right w:w="160" w:type="dxa"/>
            </w:tcMar>
            <w:vAlign w:val="center"/>
          </w:tcPr>
          <w:p>
            <w:pPr>
              <w:jc w:val="left"/>
            </w:pPr>
            <w:r>
              <w:rPr>
                <w:rFonts w:ascii="Calibri" w:hAnsi="Calibri"/>
                <w:b w:val="0"/>
                <w:color w:val="222222"/>
                <w:sz w:val="18"/>
              </w:rPr>
              <w:t>3.89 mins</w:t>
            </w:r>
          </w:p>
        </w:tc>
        <w:tc>
          <w:tcPr>
            <w:tcW w:type="dxa" w:w="1987"/>
            <w:shd w:val="clear" w:color="auto" w:fill="F7FAFC"/>
            <w:tcMar>
              <w:top w:w="140" w:type="dxa"/>
              <w:bottom w:w="140" w:type="dxa"/>
              <w:left w:w="160" w:type="dxa"/>
              <w:right w:w="160" w:type="dxa"/>
            </w:tcMar>
            <w:vAlign w:val="center"/>
          </w:tcPr>
          <w:p>
            <w:pPr>
              <w:jc w:val="left"/>
            </w:pPr>
            <w:r>
              <w:rPr>
                <w:rFonts w:ascii="Calibri" w:hAnsi="Calibri"/>
                <w:b w:val="0"/>
                <w:color w:val="222222"/>
                <w:sz w:val="18"/>
              </w:rPr>
              <w:t>1.93</w:t>
            </w:r>
          </w:p>
        </w:tc>
        <w:tc>
          <w:tcPr>
            <w:tcW w:type="dxa" w:w="1987"/>
            <w:shd w:val="clear" w:color="auto" w:fill="F7FAFC"/>
            <w:tcMar>
              <w:top w:w="140" w:type="dxa"/>
              <w:bottom w:w="140" w:type="dxa"/>
              <w:left w:w="160" w:type="dxa"/>
              <w:right w:w="160" w:type="dxa"/>
            </w:tcMar>
            <w:vAlign w:val="center"/>
          </w:tcPr>
          <w:p>
            <w:pPr>
              <w:jc w:val="left"/>
            </w:pPr>
            <w:r>
              <w:rPr>
                <w:rFonts w:ascii="Calibri" w:hAnsi="Calibri"/>
                <w:b w:val="0"/>
                <w:color w:val="222222"/>
                <w:sz w:val="18"/>
              </w:rPr>
              <w:t>3.50 mins</w:t>
            </w:r>
          </w:p>
        </w:tc>
      </w:tr>
      <w:tr>
        <w:tc>
          <w:tcPr>
            <w:tcW w:type="dxa" w:w="1987"/>
            <w:shd w:val="clear" w:color="auto" w:fill="FFFFFF"/>
            <w:tcMar>
              <w:top w:w="140" w:type="dxa"/>
              <w:bottom w:w="140" w:type="dxa"/>
              <w:left w:w="160" w:type="dxa"/>
              <w:right w:w="160" w:type="dxa"/>
            </w:tcMar>
            <w:vAlign w:val="center"/>
          </w:tcPr>
          <w:p>
            <w:pPr>
              <w:jc w:val="left"/>
            </w:pPr>
            <w:r>
              <w:rPr>
                <w:rFonts w:ascii="Calibri" w:hAnsi="Calibri"/>
                <w:b/>
                <w:color w:val="222222"/>
                <w:sz w:val="18"/>
              </w:rPr>
              <w:t>Social Media</w:t>
            </w:r>
          </w:p>
        </w:tc>
        <w:tc>
          <w:tcPr>
            <w:tcW w:type="dxa" w:w="1987"/>
            <w:shd w:val="clear" w:color="auto" w:fill="FFFFFF"/>
            <w:tcMar>
              <w:top w:w="140" w:type="dxa"/>
              <w:bottom w:w="140" w:type="dxa"/>
              <w:left w:w="160" w:type="dxa"/>
              <w:right w:w="160" w:type="dxa"/>
            </w:tcMar>
            <w:vAlign w:val="center"/>
          </w:tcPr>
          <w:p>
            <w:pPr>
              <w:jc w:val="left"/>
            </w:pPr>
            <w:r>
              <w:rPr>
                <w:rFonts w:ascii="Calibri" w:hAnsi="Calibri"/>
                <w:b w:val="0"/>
                <w:color w:val="222222"/>
                <w:sz w:val="18"/>
              </w:rPr>
              <w:t>696</w:t>
            </w:r>
          </w:p>
        </w:tc>
        <w:tc>
          <w:tcPr>
            <w:tcW w:type="dxa" w:w="1987"/>
            <w:shd w:val="clear" w:color="auto" w:fill="FFFFFF"/>
            <w:tcMar>
              <w:top w:w="140" w:type="dxa"/>
              <w:bottom w:w="140" w:type="dxa"/>
              <w:left w:w="160" w:type="dxa"/>
              <w:right w:w="160" w:type="dxa"/>
            </w:tcMar>
            <w:vAlign w:val="center"/>
          </w:tcPr>
          <w:p>
            <w:pPr>
              <w:jc w:val="left"/>
            </w:pPr>
            <w:r>
              <w:rPr>
                <w:rFonts w:ascii="Calibri" w:hAnsi="Calibri"/>
                <w:b w:val="0"/>
                <w:color w:val="222222"/>
                <w:sz w:val="18"/>
              </w:rPr>
              <w:t>2.79 mins</w:t>
            </w:r>
          </w:p>
        </w:tc>
        <w:tc>
          <w:tcPr>
            <w:tcW w:type="dxa" w:w="1987"/>
            <w:shd w:val="clear" w:color="auto" w:fill="FFFFFF"/>
            <w:tcMar>
              <w:top w:w="140" w:type="dxa"/>
              <w:bottom w:w="140" w:type="dxa"/>
              <w:left w:w="160" w:type="dxa"/>
              <w:right w:w="160" w:type="dxa"/>
            </w:tcMar>
            <w:vAlign w:val="center"/>
          </w:tcPr>
          <w:p>
            <w:pPr>
              <w:jc w:val="left"/>
            </w:pPr>
            <w:r>
              <w:rPr>
                <w:rFonts w:ascii="Calibri" w:hAnsi="Calibri"/>
                <w:b w:val="0"/>
                <w:color w:val="222222"/>
                <w:sz w:val="18"/>
              </w:rPr>
              <w:t>1.52</w:t>
            </w:r>
          </w:p>
        </w:tc>
        <w:tc>
          <w:tcPr>
            <w:tcW w:type="dxa" w:w="1987"/>
            <w:shd w:val="clear" w:color="auto" w:fill="FFFFFF"/>
            <w:tcMar>
              <w:top w:w="140" w:type="dxa"/>
              <w:bottom w:w="140" w:type="dxa"/>
              <w:left w:w="160" w:type="dxa"/>
              <w:right w:w="160" w:type="dxa"/>
            </w:tcMar>
            <w:vAlign w:val="center"/>
          </w:tcPr>
          <w:p>
            <w:pPr>
              <w:jc w:val="left"/>
            </w:pPr>
            <w:r>
              <w:rPr>
                <w:rFonts w:ascii="Calibri" w:hAnsi="Calibri"/>
                <w:b w:val="0"/>
                <w:color w:val="222222"/>
                <w:sz w:val="18"/>
              </w:rPr>
              <w:t>2.50 mins</w:t>
            </w:r>
          </w:p>
        </w:tc>
      </w:tr>
    </w:tbl>
    <w:p>
      <w:pPr>
        <w:spacing w:after="120"/>
      </w:pP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968"/>
        <w:gridCol w:w="4968"/>
      </w:tblGrid>
      <w:tr>
        <w:tc>
          <w:tcPr>
            <w:tcW w:type="dxa" w:w="3600"/>
            <w:shd w:val="clear" w:color="auto" w:fill="F7FAFC"/>
            <w:tcMar>
              <w:top w:w="140" w:type="dxa"/>
              <w:bottom w:w="140" w:type="dxa"/>
              <w:left w:w="160" w:type="dxa"/>
              <w:right w:w="160" w:type="dxa"/>
            </w:tcMar>
            <w:vAlign w:val="center"/>
          </w:tcPr>
          <w:p>
            <w:pPr>
              <w:jc w:val="left"/>
            </w:pPr>
            <w:r>
              <w:rPr>
                <w:rFonts w:ascii="Calibri" w:hAnsi="Calibri"/>
                <w:b/>
                <w:color w:val="1B365D"/>
                <w:sz w:val="19"/>
              </w:rPr>
              <w:t>One-Way ANOVA F-Statistic:</w:t>
            </w:r>
          </w:p>
        </w:tc>
        <w:tc>
          <w:tcPr>
            <w:tcW w:type="dxa" w:w="5760"/>
            <w:shd w:val="clear" w:color="auto" w:fill="F7FAFC"/>
            <w:tcMar>
              <w:top w:w="140" w:type="dxa"/>
              <w:bottom w:w="140" w:type="dxa"/>
              <w:left w:w="160" w:type="dxa"/>
              <w:right w:w="160" w:type="dxa"/>
            </w:tcMar>
            <w:vAlign w:val="center"/>
          </w:tcPr>
          <w:p>
            <w:pPr>
              <w:jc w:val="left"/>
            </w:pPr>
            <w:r>
              <w:rPr>
                <w:rFonts w:ascii="Calibri" w:hAnsi="Calibri"/>
                <w:b w:val="0"/>
                <w:color w:val="222222"/>
                <w:sz w:val="19"/>
              </w:rPr>
              <w:t>F = 402.37</w:t>
            </w:r>
          </w:p>
        </w:tc>
      </w:tr>
      <w:tr>
        <w:tc>
          <w:tcPr>
            <w:tcW w:type="dxa" w:w="3600"/>
            <w:shd w:val="clear" w:color="auto" w:fill="FFFFFF"/>
            <w:tcMar>
              <w:top w:w="140" w:type="dxa"/>
              <w:bottom w:w="140" w:type="dxa"/>
              <w:left w:w="160" w:type="dxa"/>
              <w:right w:w="160" w:type="dxa"/>
            </w:tcMar>
            <w:vAlign w:val="center"/>
          </w:tcPr>
          <w:p>
            <w:pPr>
              <w:jc w:val="left"/>
            </w:pPr>
            <w:r>
              <w:rPr>
                <w:rFonts w:ascii="Calibri" w:hAnsi="Calibri"/>
                <w:b/>
                <w:color w:val="1B365D"/>
                <w:sz w:val="19"/>
              </w:rPr>
              <w:t>Degrees of Freedom:</w:t>
            </w:r>
          </w:p>
        </w:tc>
        <w:tc>
          <w:tcPr>
            <w:tcW w:type="dxa" w:w="5760"/>
            <w:shd w:val="clear" w:color="auto" w:fill="FFFFFF"/>
            <w:tcMar>
              <w:top w:w="140" w:type="dxa"/>
              <w:bottom w:w="140" w:type="dxa"/>
              <w:left w:w="160" w:type="dxa"/>
              <w:right w:w="160" w:type="dxa"/>
            </w:tcMar>
            <w:vAlign w:val="center"/>
          </w:tcPr>
          <w:p>
            <w:pPr>
              <w:jc w:val="left"/>
            </w:pPr>
            <w:r>
              <w:rPr>
                <w:rFonts w:ascii="Calibri" w:hAnsi="Calibri"/>
                <w:b w:val="0"/>
                <w:color w:val="222222"/>
                <w:sz w:val="19"/>
              </w:rPr>
              <w:t>Between Groups = 3 | Within Groups (Residuals) = 2996</w:t>
            </w:r>
          </w:p>
        </w:tc>
      </w:tr>
      <w:tr>
        <w:tc>
          <w:tcPr>
            <w:tcW w:type="dxa" w:w="3600"/>
            <w:shd w:val="clear" w:color="auto" w:fill="F7FAFC"/>
            <w:tcMar>
              <w:top w:w="140" w:type="dxa"/>
              <w:bottom w:w="140" w:type="dxa"/>
              <w:left w:w="160" w:type="dxa"/>
              <w:right w:w="160" w:type="dxa"/>
            </w:tcMar>
            <w:vAlign w:val="center"/>
          </w:tcPr>
          <w:p>
            <w:pPr>
              <w:jc w:val="left"/>
            </w:pPr>
            <w:r>
              <w:rPr>
                <w:rFonts w:ascii="Calibri" w:hAnsi="Calibri"/>
                <w:b/>
                <w:color w:val="1B365D"/>
                <w:sz w:val="19"/>
              </w:rPr>
              <w:t>Statistical Significance (p-Value):</w:t>
            </w:r>
          </w:p>
        </w:tc>
        <w:tc>
          <w:tcPr>
            <w:tcW w:type="dxa" w:w="5760"/>
            <w:shd w:val="clear" w:color="auto" w:fill="F7FAFC"/>
            <w:tcMar>
              <w:top w:w="140" w:type="dxa"/>
              <w:bottom w:w="140" w:type="dxa"/>
              <w:left w:w="160" w:type="dxa"/>
              <w:right w:w="160" w:type="dxa"/>
            </w:tcMar>
            <w:vAlign w:val="center"/>
          </w:tcPr>
          <w:p>
            <w:pPr>
              <w:jc w:val="left"/>
            </w:pPr>
            <w:r>
              <w:rPr>
                <w:rFonts w:ascii="Calibri" w:hAnsi="Calibri"/>
                <w:b w:val="0"/>
                <w:color w:val="222222"/>
                <w:sz w:val="19"/>
              </w:rPr>
              <w:t>p = 1.3214e-219 (p &lt; 1e-100, extremely significant)</w:t>
            </w:r>
          </w:p>
        </w:tc>
      </w:tr>
      <w:tr>
        <w:tc>
          <w:tcPr>
            <w:tcW w:type="dxa" w:w="3600"/>
            <w:shd w:val="clear" w:color="auto" w:fill="FFFFFF"/>
            <w:tcMar>
              <w:top w:w="140" w:type="dxa"/>
              <w:bottom w:w="140" w:type="dxa"/>
              <w:left w:w="160" w:type="dxa"/>
              <w:right w:w="160" w:type="dxa"/>
            </w:tcMar>
            <w:vAlign w:val="center"/>
          </w:tcPr>
          <w:p>
            <w:pPr>
              <w:jc w:val="left"/>
            </w:pPr>
            <w:r>
              <w:rPr>
                <w:rFonts w:ascii="Calibri" w:hAnsi="Calibri"/>
                <w:b/>
                <w:color w:val="1B365D"/>
                <w:sz w:val="19"/>
              </w:rPr>
              <w:t>Effect Size Index (Eta-Squared eta^2):</w:t>
            </w:r>
          </w:p>
        </w:tc>
        <w:tc>
          <w:tcPr>
            <w:tcW w:type="dxa" w:w="5760"/>
            <w:shd w:val="clear" w:color="auto" w:fill="FFFFFF"/>
            <w:tcMar>
              <w:top w:w="140" w:type="dxa"/>
              <w:bottom w:w="140" w:type="dxa"/>
              <w:left w:w="160" w:type="dxa"/>
              <w:right w:w="160" w:type="dxa"/>
            </w:tcMar>
            <w:vAlign w:val="center"/>
          </w:tcPr>
          <w:p>
            <w:pPr>
              <w:jc w:val="left"/>
            </w:pPr>
            <w:r>
              <w:rPr>
                <w:rFonts w:ascii="Calibri" w:hAnsi="Calibri"/>
                <w:b w:val="0"/>
                <w:color w:val="222222"/>
                <w:sz w:val="19"/>
              </w:rPr>
              <w:t>eta^2 = 0.2872 (28.7% of total variance explained by channel)</w:t>
            </w:r>
          </w:p>
        </w:tc>
      </w:tr>
      <w:tr>
        <w:tc>
          <w:tcPr>
            <w:tcW w:type="dxa" w:w="3600"/>
            <w:shd w:val="clear" w:color="auto" w:fill="F7FAFC"/>
            <w:tcMar>
              <w:top w:w="140" w:type="dxa"/>
              <w:bottom w:w="140" w:type="dxa"/>
              <w:left w:w="160" w:type="dxa"/>
              <w:right w:w="160" w:type="dxa"/>
            </w:tcMar>
            <w:vAlign w:val="center"/>
          </w:tcPr>
          <w:p>
            <w:pPr>
              <w:jc w:val="left"/>
            </w:pPr>
            <w:r>
              <w:rPr>
                <w:rFonts w:ascii="Calibri" w:hAnsi="Calibri"/>
                <w:b/>
                <w:color w:val="1B365D"/>
                <w:sz w:val="19"/>
              </w:rPr>
              <w:t>Tukey's HSD Multi-Comparison:</w:t>
            </w:r>
          </w:p>
        </w:tc>
        <w:tc>
          <w:tcPr>
            <w:tcW w:type="dxa" w:w="5760"/>
            <w:shd w:val="clear" w:color="auto" w:fill="F7FAFC"/>
            <w:tcMar>
              <w:top w:w="140" w:type="dxa"/>
              <w:bottom w:w="140" w:type="dxa"/>
              <w:left w:w="160" w:type="dxa"/>
              <w:right w:w="160" w:type="dxa"/>
            </w:tcMar>
            <w:vAlign w:val="center"/>
          </w:tcPr>
          <w:p>
            <w:pPr>
              <w:jc w:val="left"/>
            </w:pPr>
            <w:r>
              <w:rPr>
                <w:rFonts w:ascii="Calibri" w:hAnsi="Calibri"/>
                <w:b w:val="0"/>
                <w:color w:val="222222"/>
                <w:sz w:val="19"/>
              </w:rPr>
              <w:t>All 6 pairwise channel comparisons are statistically significant at adjusted p &lt; 0.001</w:t>
            </w:r>
          </w:p>
        </w:tc>
      </w:tr>
    </w:tbl>
    <w:p>
      <w:pPr>
        <w:spacing w:after="120"/>
      </w:pPr>
    </w:p>
    <w:p>
      <w:pPr>
        <w:jc w:val="center"/>
      </w:pPr>
      <w:r>
        <w:drawing>
          <wp:inline xmlns:a="http://schemas.openxmlformats.org/drawingml/2006/main" xmlns:pic="http://schemas.openxmlformats.org/drawingml/2006/picture">
            <wp:extent cx="5669280" cy="2267712"/>
            <wp:docPr id="4" name="Picture 4"/>
            <wp:cNvGraphicFramePr>
              <a:graphicFrameLocks noChangeAspect="1"/>
            </wp:cNvGraphicFramePr>
            <a:graphic>
              <a:graphicData uri="http://schemas.openxmlformats.org/drawingml/2006/picture">
                <pic:pic>
                  <pic:nvPicPr>
                    <pic:cNvPr id="0" name="fig4_hypothesis3_anova.png"/>
                    <pic:cNvPicPr/>
                  </pic:nvPicPr>
                  <pic:blipFill>
                    <a:blip r:embed="rId12"/>
                    <a:stretch>
                      <a:fillRect/>
                    </a:stretch>
                  </pic:blipFill>
                  <pic:spPr>
                    <a:xfrm>
                      <a:off x="0" y="0"/>
                      <a:ext cx="5669280" cy="2267712"/>
                    </a:xfrm>
                    <a:prstGeom prst="rect"/>
                  </pic:spPr>
                </pic:pic>
              </a:graphicData>
            </a:graphic>
          </wp:inline>
        </w:drawing>
      </w:r>
    </w:p>
    <w:p>
      <w:pPr>
        <w:spacing w:before="80" w:after="200"/>
        <w:jc w:val="center"/>
      </w:pPr>
      <w:r>
        <w:rPr>
          <w:rFonts w:ascii="Calibri" w:hAnsi="Calibri"/>
          <w:b/>
          <w:color w:val="1B365D"/>
          <w:sz w:val="19"/>
        </w:rPr>
        <w:t xml:space="preserve">Figure 4: </w:t>
      </w:r>
      <w:r>
        <w:rPr>
          <w:rFonts w:ascii="Calibri" w:hAnsi="Calibri"/>
          <w:i/>
          <w:color w:val="505050"/>
          <w:sz w:val="19"/>
        </w:rPr>
        <w:t>Analysis of Variance (ANOVA) for session duration across marketing channels. Left panel illustrates density distributions showing distinct engagement tiers; right panel depicts Tukey's HSD simultaneous 95% confidence intervals for all pairwise group differences, confirming that zero is excluded from all comparisons.</w:t>
      </w:r>
    </w:p>
    <w:p>
      <w:pPr>
        <w:spacing w:after="100" w:line="276" w:lineRule="auto"/>
      </w:pPr>
      <w:r>
        <w:rPr>
          <w:rFonts w:ascii="Calibri" w:hAnsi="Calibri"/>
          <w:b/>
          <w:color w:val="222222"/>
          <w:sz w:val="21"/>
        </w:rPr>
        <w:t xml:space="preserve">Decision &amp; Inference: </w:t>
      </w:r>
      <w:r>
        <w:rPr>
          <w:rFonts w:ascii="Calibri" w:hAnsi="Calibri"/>
          <w:i w:val="0"/>
          <w:color w:val="282828"/>
          <w:sz w:val="21"/>
        </w:rPr>
        <w:t>Statistical Interpretation: The omnibus ANOVA test strongly rejects the null hypothesis (F(3, 2996) = 402.37, p &lt; 1e-100). With an Eta-Squared of eta^2 = 0.287, more than 28.7% of the variance in visitor session duration is directly attributable to the traffic source. Tukey's HSD post-hoc testing confirms that Email Campaign traffic exhibits the highest mean session length (6.71 mins), followed by Organic Search (5.54 mins), Paid Search (3.89 mins), and Social Media (2.80 mins). All pairwise contrasts reject equality (adjusted p &lt; 0.001), demonstrating that higher-intent channels (email and organic) generate over 2x the on-site engagement of social and paid discovery.</w:t>
      </w:r>
    </w:p>
    <w:p>
      <w:pPr>
        <w:pStyle w:val="Heading2"/>
        <w:keepNext/>
        <w:spacing w:before="240" w:after="80"/>
      </w:pPr>
      <w:r>
        <w:rPr>
          <w:rFonts w:ascii="Calibri" w:hAnsi="Calibri"/>
          <w:b/>
          <w:color w:val="2E6B9E"/>
          <w:sz w:val="27"/>
        </w:rPr>
        <w:t>4.4 Hypothesis 4: Pre- vs Post-Intervention Customer Loyalty Scores</w:t>
      </w:r>
    </w:p>
    <w:p>
      <w:pPr>
        <w:spacing w:after="100" w:line="276" w:lineRule="auto"/>
      </w:pPr>
      <w:r>
        <w:rPr>
          <w:rFonts w:ascii="Calibri" w:hAnsi="Calibri"/>
          <w:i w:val="0"/>
          <w:color w:val="282828"/>
          <w:sz w:val="21"/>
        </w:rPr>
        <w:t>To evaluate longitudinal customer satisfaction and retention dynamics, a subcohort of registered repeat customers (N = 526) in the Treatment group were surveyed before and after receiving the personalized onboarding and loyalty reward experience. The null hypothesis specifies zero mean change in within-subject loyalty score (H0: mu_Difference = 0). A Paired Samples t-test and Wilcoxon Signed-Rank Test were executed.</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968"/>
        <w:gridCol w:w="4968"/>
      </w:tblGrid>
      <w:tr>
        <w:tc>
          <w:tcPr>
            <w:tcW w:type="dxa" w:w="3600"/>
            <w:shd w:val="clear" w:color="auto" w:fill="F7FAFC"/>
            <w:tcMar>
              <w:top w:w="140" w:type="dxa"/>
              <w:bottom w:w="140" w:type="dxa"/>
              <w:left w:w="160" w:type="dxa"/>
              <w:right w:w="160" w:type="dxa"/>
            </w:tcMar>
            <w:vAlign w:val="center"/>
          </w:tcPr>
          <w:p>
            <w:pPr>
              <w:jc w:val="left"/>
            </w:pPr>
            <w:r>
              <w:rPr>
                <w:rFonts w:ascii="Calibri" w:hAnsi="Calibri"/>
                <w:b/>
                <w:color w:val="1B365D"/>
                <w:sz w:val="19"/>
              </w:rPr>
              <w:t>Pre-Intervention Baseline Score:</w:t>
            </w:r>
          </w:p>
        </w:tc>
        <w:tc>
          <w:tcPr>
            <w:tcW w:type="dxa" w:w="5760"/>
            <w:shd w:val="clear" w:color="auto" w:fill="F7FAFC"/>
            <w:tcMar>
              <w:top w:w="140" w:type="dxa"/>
              <w:bottom w:w="140" w:type="dxa"/>
              <w:left w:w="160" w:type="dxa"/>
              <w:right w:w="160" w:type="dxa"/>
            </w:tcMar>
            <w:vAlign w:val="center"/>
          </w:tcPr>
          <w:p>
            <w:pPr>
              <w:jc w:val="left"/>
            </w:pPr>
            <w:r>
              <w:rPr>
                <w:rFonts w:ascii="Calibri" w:hAnsi="Calibri"/>
                <w:b w:val="0"/>
                <w:color w:val="222222"/>
                <w:sz w:val="19"/>
              </w:rPr>
              <w:t>Mean = 5.70 / 10 (SD = 1.41, N = 526)</w:t>
            </w:r>
          </w:p>
        </w:tc>
      </w:tr>
      <w:tr>
        <w:tc>
          <w:tcPr>
            <w:tcW w:type="dxa" w:w="3600"/>
            <w:shd w:val="clear" w:color="auto" w:fill="FFFFFF"/>
            <w:tcMar>
              <w:top w:w="140" w:type="dxa"/>
              <w:bottom w:w="140" w:type="dxa"/>
              <w:left w:w="160" w:type="dxa"/>
              <w:right w:w="160" w:type="dxa"/>
            </w:tcMar>
            <w:vAlign w:val="center"/>
          </w:tcPr>
          <w:p>
            <w:pPr>
              <w:jc w:val="left"/>
            </w:pPr>
            <w:r>
              <w:rPr>
                <w:rFonts w:ascii="Calibri" w:hAnsi="Calibri"/>
                <w:b/>
                <w:color w:val="1B365D"/>
                <w:sz w:val="19"/>
              </w:rPr>
              <w:t>Post-Intervention Outcome Score:</w:t>
            </w:r>
          </w:p>
        </w:tc>
        <w:tc>
          <w:tcPr>
            <w:tcW w:type="dxa" w:w="5760"/>
            <w:shd w:val="clear" w:color="auto" w:fill="FFFFFF"/>
            <w:tcMar>
              <w:top w:w="140" w:type="dxa"/>
              <w:bottom w:w="140" w:type="dxa"/>
              <w:left w:w="160" w:type="dxa"/>
              <w:right w:w="160" w:type="dxa"/>
            </w:tcMar>
            <w:vAlign w:val="center"/>
          </w:tcPr>
          <w:p>
            <w:pPr>
              <w:jc w:val="left"/>
            </w:pPr>
            <w:r>
              <w:rPr>
                <w:rFonts w:ascii="Calibri" w:hAnsi="Calibri"/>
                <w:b w:val="0"/>
                <w:color w:val="222222"/>
                <w:sz w:val="19"/>
              </w:rPr>
              <w:t>Mean = 7.05 / 10 (SD = 1.61, N = 526)</w:t>
            </w:r>
          </w:p>
        </w:tc>
      </w:tr>
      <w:tr>
        <w:tc>
          <w:tcPr>
            <w:tcW w:type="dxa" w:w="3600"/>
            <w:shd w:val="clear" w:color="auto" w:fill="F7FAFC"/>
            <w:tcMar>
              <w:top w:w="140" w:type="dxa"/>
              <w:bottom w:w="140" w:type="dxa"/>
              <w:left w:w="160" w:type="dxa"/>
              <w:right w:w="160" w:type="dxa"/>
            </w:tcMar>
            <w:vAlign w:val="center"/>
          </w:tcPr>
          <w:p>
            <w:pPr>
              <w:jc w:val="left"/>
            </w:pPr>
            <w:r>
              <w:rPr>
                <w:rFonts w:ascii="Calibri" w:hAnsi="Calibri"/>
                <w:b/>
                <w:color w:val="1B365D"/>
                <w:sz w:val="19"/>
              </w:rPr>
              <w:t>Mean Within-Subject Improvement:</w:t>
            </w:r>
          </w:p>
        </w:tc>
        <w:tc>
          <w:tcPr>
            <w:tcW w:type="dxa" w:w="5760"/>
            <w:shd w:val="clear" w:color="auto" w:fill="F7FAFC"/>
            <w:tcMar>
              <w:top w:w="140" w:type="dxa"/>
              <w:bottom w:w="140" w:type="dxa"/>
              <w:left w:w="160" w:type="dxa"/>
              <w:right w:w="160" w:type="dxa"/>
            </w:tcMar>
            <w:vAlign w:val="center"/>
          </w:tcPr>
          <w:p>
            <w:pPr>
              <w:jc w:val="left"/>
            </w:pPr>
            <w:r>
              <w:rPr>
                <w:rFonts w:ascii="Calibri" w:hAnsi="Calibri"/>
                <w:b w:val="0"/>
                <w:color w:val="222222"/>
                <w:sz w:val="19"/>
              </w:rPr>
              <w:t>+1.34 points (SD_diff = 0.88, SE_diff = 0.0382)</w:t>
            </w:r>
          </w:p>
        </w:tc>
      </w:tr>
      <w:tr>
        <w:tc>
          <w:tcPr>
            <w:tcW w:type="dxa" w:w="3600"/>
            <w:shd w:val="clear" w:color="auto" w:fill="FFFFFF"/>
            <w:tcMar>
              <w:top w:w="140" w:type="dxa"/>
              <w:bottom w:w="140" w:type="dxa"/>
              <w:left w:w="160" w:type="dxa"/>
              <w:right w:w="160" w:type="dxa"/>
            </w:tcMar>
            <w:vAlign w:val="center"/>
          </w:tcPr>
          <w:p>
            <w:pPr>
              <w:jc w:val="left"/>
            </w:pPr>
            <w:r>
              <w:rPr>
                <w:rFonts w:ascii="Calibri" w:hAnsi="Calibri"/>
                <w:b/>
                <w:color w:val="1B365D"/>
                <w:sz w:val="19"/>
              </w:rPr>
              <w:t>95% Confidence Interval for Mean Difference:</w:t>
            </w:r>
          </w:p>
        </w:tc>
        <w:tc>
          <w:tcPr>
            <w:tcW w:type="dxa" w:w="5760"/>
            <w:shd w:val="clear" w:color="auto" w:fill="FFFFFF"/>
            <w:tcMar>
              <w:top w:w="140" w:type="dxa"/>
              <w:bottom w:w="140" w:type="dxa"/>
              <w:left w:w="160" w:type="dxa"/>
              <w:right w:w="160" w:type="dxa"/>
            </w:tcMar>
            <w:vAlign w:val="center"/>
          </w:tcPr>
          <w:p>
            <w:pPr>
              <w:jc w:val="left"/>
            </w:pPr>
            <w:r>
              <w:rPr>
                <w:rFonts w:ascii="Calibri" w:hAnsi="Calibri"/>
                <w:b w:val="0"/>
                <w:color w:val="222222"/>
                <w:sz w:val="19"/>
              </w:rPr>
              <w:t>[+1.27, +1.42] points</w:t>
            </w:r>
          </w:p>
        </w:tc>
      </w:tr>
      <w:tr>
        <w:tc>
          <w:tcPr>
            <w:tcW w:type="dxa" w:w="3600"/>
            <w:shd w:val="clear" w:color="auto" w:fill="F7FAFC"/>
            <w:tcMar>
              <w:top w:w="140" w:type="dxa"/>
              <w:bottom w:w="140" w:type="dxa"/>
              <w:left w:w="160" w:type="dxa"/>
              <w:right w:w="160" w:type="dxa"/>
            </w:tcMar>
            <w:vAlign w:val="center"/>
          </w:tcPr>
          <w:p>
            <w:pPr>
              <w:jc w:val="left"/>
            </w:pPr>
            <w:r>
              <w:rPr>
                <w:rFonts w:ascii="Calibri" w:hAnsi="Calibri"/>
                <w:b/>
                <w:color w:val="1B365D"/>
                <w:sz w:val="19"/>
              </w:rPr>
              <w:t>Paired Samples t-Test:</w:t>
            </w:r>
          </w:p>
        </w:tc>
        <w:tc>
          <w:tcPr>
            <w:tcW w:type="dxa" w:w="5760"/>
            <w:shd w:val="clear" w:color="auto" w:fill="F7FAFC"/>
            <w:tcMar>
              <w:top w:w="140" w:type="dxa"/>
              <w:bottom w:w="140" w:type="dxa"/>
              <w:left w:w="160" w:type="dxa"/>
              <w:right w:w="160" w:type="dxa"/>
            </w:tcMar>
            <w:vAlign w:val="center"/>
          </w:tcPr>
          <w:p>
            <w:pPr>
              <w:jc w:val="left"/>
            </w:pPr>
            <w:r>
              <w:rPr>
                <w:rFonts w:ascii="Calibri" w:hAnsi="Calibri"/>
                <w:b w:val="0"/>
                <w:color w:val="222222"/>
                <w:sz w:val="19"/>
              </w:rPr>
              <w:t>t = 35.16, df = 525, p = 4.2572e-140</w:t>
            </w:r>
          </w:p>
        </w:tc>
      </w:tr>
      <w:tr>
        <w:tc>
          <w:tcPr>
            <w:tcW w:type="dxa" w:w="3600"/>
            <w:shd w:val="clear" w:color="auto" w:fill="FFFFFF"/>
            <w:tcMar>
              <w:top w:w="140" w:type="dxa"/>
              <w:bottom w:w="140" w:type="dxa"/>
              <w:left w:w="160" w:type="dxa"/>
              <w:right w:w="160" w:type="dxa"/>
            </w:tcMar>
            <w:vAlign w:val="center"/>
          </w:tcPr>
          <w:p>
            <w:pPr>
              <w:jc w:val="left"/>
            </w:pPr>
            <w:r>
              <w:rPr>
                <w:rFonts w:ascii="Calibri" w:hAnsi="Calibri"/>
                <w:b/>
                <w:color w:val="1B365D"/>
                <w:sz w:val="19"/>
              </w:rPr>
              <w:t>Standardized Effect Size (Cohen's dz):</w:t>
            </w:r>
          </w:p>
        </w:tc>
        <w:tc>
          <w:tcPr>
            <w:tcW w:type="dxa" w:w="5760"/>
            <w:shd w:val="clear" w:color="auto" w:fill="FFFFFF"/>
            <w:tcMar>
              <w:top w:w="140" w:type="dxa"/>
              <w:bottom w:w="140" w:type="dxa"/>
              <w:left w:w="160" w:type="dxa"/>
              <w:right w:w="160" w:type="dxa"/>
            </w:tcMar>
            <w:vAlign w:val="center"/>
          </w:tcPr>
          <w:p>
            <w:pPr>
              <w:jc w:val="left"/>
            </w:pPr>
            <w:r>
              <w:rPr>
                <w:rFonts w:ascii="Calibri" w:hAnsi="Calibri"/>
                <w:b w:val="0"/>
                <w:color w:val="222222"/>
                <w:sz w:val="19"/>
              </w:rPr>
              <w:t>dz = 1.53 (Extremely large positive effect)</w:t>
            </w:r>
          </w:p>
        </w:tc>
      </w:tr>
      <w:tr>
        <w:tc>
          <w:tcPr>
            <w:tcW w:type="dxa" w:w="3600"/>
            <w:shd w:val="clear" w:color="auto" w:fill="F7FAFC"/>
            <w:tcMar>
              <w:top w:w="140" w:type="dxa"/>
              <w:bottom w:w="140" w:type="dxa"/>
              <w:left w:w="160" w:type="dxa"/>
              <w:right w:w="160" w:type="dxa"/>
            </w:tcMar>
            <w:vAlign w:val="center"/>
          </w:tcPr>
          <w:p>
            <w:pPr>
              <w:jc w:val="left"/>
            </w:pPr>
            <w:r>
              <w:rPr>
                <w:rFonts w:ascii="Calibri" w:hAnsi="Calibri"/>
                <w:b/>
                <w:color w:val="1B365D"/>
                <w:sz w:val="19"/>
              </w:rPr>
              <w:t>Wilcoxon Signed-Rank Test (Non-Parametric):</w:t>
            </w:r>
          </w:p>
        </w:tc>
        <w:tc>
          <w:tcPr>
            <w:tcW w:type="dxa" w:w="5760"/>
            <w:shd w:val="clear" w:color="auto" w:fill="F7FAFC"/>
            <w:tcMar>
              <w:top w:w="140" w:type="dxa"/>
              <w:bottom w:w="140" w:type="dxa"/>
              <w:left w:w="160" w:type="dxa"/>
              <w:right w:w="160" w:type="dxa"/>
            </w:tcMar>
            <w:vAlign w:val="center"/>
          </w:tcPr>
          <w:p>
            <w:pPr>
              <w:jc w:val="left"/>
            </w:pPr>
            <w:r>
              <w:rPr>
                <w:rFonts w:ascii="Calibri" w:hAnsi="Calibri"/>
                <w:b w:val="0"/>
                <w:color w:val="222222"/>
                <w:sz w:val="19"/>
              </w:rPr>
              <w:t>W = 587.5, p = 2.1462e-77 (Reject H0)</w:t>
            </w:r>
          </w:p>
        </w:tc>
      </w:tr>
    </w:tbl>
    <w:p>
      <w:pPr>
        <w:spacing w:after="120"/>
      </w:pPr>
    </w:p>
    <w:p>
      <w:pPr>
        <w:jc w:val="center"/>
      </w:pPr>
      <w:r>
        <w:drawing>
          <wp:inline xmlns:a="http://schemas.openxmlformats.org/drawingml/2006/main" xmlns:pic="http://schemas.openxmlformats.org/drawingml/2006/picture">
            <wp:extent cx="5669280" cy="2180492"/>
            <wp:docPr id="5" name="Picture 5"/>
            <wp:cNvGraphicFramePr>
              <a:graphicFrameLocks noChangeAspect="1"/>
            </wp:cNvGraphicFramePr>
            <a:graphic>
              <a:graphicData uri="http://schemas.openxmlformats.org/drawingml/2006/picture">
                <pic:pic>
                  <pic:nvPicPr>
                    <pic:cNvPr id="0" name="fig5_hypothesis4_paired_ttest.png"/>
                    <pic:cNvPicPr/>
                  </pic:nvPicPr>
                  <pic:blipFill>
                    <a:blip r:embed="rId13"/>
                    <a:stretch>
                      <a:fillRect/>
                    </a:stretch>
                  </pic:blipFill>
                  <pic:spPr>
                    <a:xfrm>
                      <a:off x="0" y="0"/>
                      <a:ext cx="5669280" cy="2180492"/>
                    </a:xfrm>
                    <a:prstGeom prst="rect"/>
                  </pic:spPr>
                </pic:pic>
              </a:graphicData>
            </a:graphic>
          </wp:inline>
        </w:drawing>
      </w:r>
    </w:p>
    <w:p>
      <w:pPr>
        <w:spacing w:before="80" w:after="200"/>
        <w:jc w:val="center"/>
      </w:pPr>
      <w:r>
        <w:rPr>
          <w:rFonts w:ascii="Calibri" w:hAnsi="Calibri"/>
          <w:b/>
          <w:color w:val="1B365D"/>
          <w:sz w:val="19"/>
        </w:rPr>
        <w:t xml:space="preserve">Figure 5: </w:t>
      </w:r>
      <w:r>
        <w:rPr>
          <w:rFonts w:ascii="Calibri" w:hAnsi="Calibri"/>
          <w:i/>
          <w:color w:val="505050"/>
          <w:sz w:val="19"/>
        </w:rPr>
        <w:t>Paired analysis of customer loyalty scores pre- vs post-treatment intervention. Left panel shows individual customer trajectories (gray lines) and aggregate cohort mean +- standard error (red marker); right panel displays the empirical distribution of difference scores (Post - Pre), demonstrating consistent positive shifts centered at +1.34.</w:t>
      </w:r>
    </w:p>
    <w:p>
      <w:pPr>
        <w:spacing w:after="100" w:line="276" w:lineRule="auto"/>
      </w:pPr>
      <w:r>
        <w:rPr>
          <w:rFonts w:ascii="Calibri" w:hAnsi="Calibri"/>
          <w:b/>
          <w:color w:val="222222"/>
          <w:sz w:val="21"/>
        </w:rPr>
        <w:t xml:space="preserve">Decision &amp; Inference: </w:t>
      </w:r>
      <w:r>
        <w:rPr>
          <w:rFonts w:ascii="Calibri" w:hAnsi="Calibri"/>
          <w:i w:val="0"/>
          <w:color w:val="282828"/>
          <w:sz w:val="21"/>
        </w:rPr>
        <w:t>Statistical Interpretation: The paired samples t-test yields t(525) = 35.16, p = 4.26e-140, warranting decisive rejection of the null hypothesis (H0,4). The 95% confidence interval [+1.27, +1.42] confirms a tightly bounded, highly predictable positive gain. Cohen's dz of 1.53 represents a massive within-subject effect size. The non-parametric Wilcoxon Signed-Rank test confirms statistical significance (W = 587.5, p = 2.15e-77), verifying that the personalized onboarding flow systematically boosts repeat customer sentiment.</w:t>
      </w:r>
    </w:p>
    <w:p>
      <w:pPr>
        <w:pStyle w:val="Heading1"/>
        <w:keepNext/>
        <w:spacing w:before="320" w:after="120"/>
      </w:pPr>
      <w:r>
        <w:rPr>
          <w:rFonts w:ascii="Calibri" w:hAnsi="Calibri"/>
          <w:b/>
          <w:color w:val="1B365D"/>
          <w:sz w:val="34"/>
        </w:rPr>
        <w:t>5. Python Statistical Codebase &amp; Reproducibility Guide</w:t>
      </w:r>
    </w:p>
    <w:p>
      <w:pPr>
        <w:spacing w:after="100" w:line="276" w:lineRule="auto"/>
      </w:pPr>
      <w:r>
        <w:rPr>
          <w:rFonts w:ascii="Calibri" w:hAnsi="Calibri"/>
          <w:i w:val="0"/>
          <w:color w:val="282828"/>
          <w:sz w:val="21"/>
        </w:rPr>
        <w:t>All analytical computations and visualizations were implemented using modular, PEP8-compliant Python code. The core statistical pipeline harnesses SciPy (`scipy.stats`) and Statsmodels (`statsmodels.api`, `statsmodels.stats.multicomp`). Representative code listings illustrating the test battery execution are provided below:</w:t>
      </w:r>
    </w:p>
    <w:p>
      <w:pPr>
        <w:pStyle w:val="Heading3"/>
        <w:keepNext/>
        <w:spacing w:before="160" w:after="60"/>
      </w:pPr>
      <w:r>
        <w:rPr>
          <w:rFonts w:ascii="Calibri" w:hAnsi="Calibri"/>
          <w:b/>
          <w:color w:val="3C3C3C"/>
          <w:sz w:val="23"/>
        </w:rPr>
        <w:t>Listing 1: Hypothesis 1 - Two-Sample Welch's t-Test &amp; Assumption Tests</w:t>
      </w:r>
    </w:p>
    <w:tbl>
      <w:tblPr>
        <w:tblW w:type="auto" w:w="0"/>
        <w:jc w:val="center"/>
        <w:tblLayout w:type="fixed"/>
        <w:tblLook w:firstColumn="1" w:firstRow="1" w:lastColumn="0" w:lastRow="0" w:noHBand="0" w:noVBand="1" w:val="04A0"/>
      </w:tblPr>
      <w:tblGrid>
        <w:gridCol w:w="9936"/>
      </w:tblGrid>
      <w:tr>
        <w:tc>
          <w:tcPr>
            <w:tcW w:type="dxa" w:w="9360"/>
            <w:shd w:val="clear" w:color="auto" w:fill="282C34"/>
            <w:tcMar>
              <w:top w:w="140" w:type="dxa"/>
              <w:bottom w:w="140" w:type="dxa"/>
              <w:left w:w="180" w:type="dxa"/>
              <w:right w:w="180" w:type="dxa"/>
            </w:tcMar>
          </w:tcPr>
          <w:p>
            <w:pPr>
              <w:spacing w:after="0" w:line="264" w:lineRule="auto"/>
            </w:pPr>
            <w:r>
              <w:rPr>
                <w:rFonts w:ascii="Consolas" w:hAnsi="Consolas"/>
                <w:color w:val="E6EBF0"/>
                <w:sz w:val="18"/>
              </w:rPr>
              <w:t># 1. Normality checks</w:t>
              <w:br/>
              <w:t>shapiro_ctrl_stat, shapiro_ctrl_p = stats.shapiro(ctrl_aov)</w:t>
              <w:br/>
              <w:t>shapiro_trt_stat, shapiro_trt_p = stats.shapiro(trt_aov)</w:t>
              <w:br/>
              <w:br/>
              <w:t># 2. Homoscedasticity check (Levene centered at median)</w:t>
              <w:br/>
              <w:t>levene_stat, levene_p = stats.levene(ctrl_aov, trt_aov, center='median')</w:t>
              <w:br/>
              <w:br/>
              <w:t># 3. Two-Sample Welch's t-test (equal_var=False)</w:t>
              <w:br/>
              <w:t>t_stat, p_val = stats.ttest_ind(trt_aov, ctrl_aov, equal_var=False)</w:t>
              <w:br/>
              <w:br/>
              <w:t># 4. 95% Confidence Interval for difference in means</w:t>
              <w:br/>
              <w:t>s1, s2 = np.var(trt_aov, ddof=1), np.var(ctrl_aov, ddof=1)</w:t>
              <w:br/>
              <w:t>n1, n2 = len(trt_aov), len(ctrl_aov)</w:t>
              <w:br/>
              <w:t>df_welch = ((s1/n1 + s2/n2)**2) / (((s1/n1)**2)/(n1-1) + ((s2/n2)**2)/(n2-1))</w:t>
              <w:br/>
              <w:t>se_diff = np.sqrt(s1/n1 + s2/n2)</w:t>
              <w:br/>
              <w:t>ci_low = (np.mean(trt_aov) - np.mean(ctrl_aov)) - stats.t.ppf(0.975, df=df_welch) * se_diff</w:t>
              <w:br/>
              <w:t>ci_high = (np.mean(trt_aov) - np.mean(ctrl_aov)) + stats.t.ppf(0.975, df=df_welch) * se_diff</w:t>
              <w:br/>
              <w:br/>
              <w:t># 5. Non-parametric Mann-Whitney U test</w:t>
              <w:br/>
              <w:t>u_stat, mwu_p = stats.mannwhitneyu(trt_aov, ctrl_aov, alternative='two-sided')</w:t>
            </w:r>
          </w:p>
        </w:tc>
      </w:tr>
    </w:tbl>
    <w:p>
      <w:pPr>
        <w:spacing w:after="80"/>
      </w:pPr>
    </w:p>
    <w:p>
      <w:pPr>
        <w:pStyle w:val="Heading3"/>
        <w:keepNext/>
        <w:spacing w:before="160" w:after="60"/>
      </w:pPr>
      <w:r>
        <w:rPr>
          <w:rFonts w:ascii="Calibri" w:hAnsi="Calibri"/>
          <w:b/>
          <w:color w:val="3C3C3C"/>
          <w:sz w:val="23"/>
        </w:rPr>
        <w:t>Listing 2: Hypothesis 3 - One-Way ANOVA and Tukey's HSD Post-Hoc</w:t>
      </w:r>
    </w:p>
    <w:tbl>
      <w:tblPr>
        <w:tblW w:type="auto" w:w="0"/>
        <w:jc w:val="center"/>
        <w:tblLayout w:type="fixed"/>
        <w:tblLook w:firstColumn="1" w:firstRow="1" w:lastColumn="0" w:lastRow="0" w:noHBand="0" w:noVBand="1" w:val="04A0"/>
      </w:tblPr>
      <w:tblGrid>
        <w:gridCol w:w="9936"/>
      </w:tblGrid>
      <w:tr>
        <w:tc>
          <w:tcPr>
            <w:tcW w:type="dxa" w:w="9360"/>
            <w:shd w:val="clear" w:color="auto" w:fill="282C34"/>
            <w:tcMar>
              <w:top w:w="140" w:type="dxa"/>
              <w:bottom w:w="140" w:type="dxa"/>
              <w:left w:w="180" w:type="dxa"/>
              <w:right w:w="180" w:type="dxa"/>
            </w:tcMar>
          </w:tcPr>
          <w:p>
            <w:pPr>
              <w:spacing w:after="0" w:line="264" w:lineRule="auto"/>
            </w:pPr>
            <w:r>
              <w:rPr>
                <w:rFonts w:ascii="Consolas" w:hAnsi="Consolas"/>
                <w:color w:val="E6EBF0"/>
                <w:sz w:val="18"/>
              </w:rPr>
              <w:t># 1. Omnibus One-Way ANOVA F-test</w:t>
              <w:br/>
              <w:t>channels = df['marketing_channel'].unique()</w:t>
              <w:br/>
              <w:t>channel_groups = [df[df['marketing_channel'] == ch]['session_duration_mins'] for ch in channels]</w:t>
              <w:br/>
              <w:t>f_stat, anova_p = stats.f_oneway(*channel_groups)</w:t>
              <w:br/>
              <w:br/>
              <w:t># 2. OLS ANOVA Model &amp; Eta-Squared Effect Size</w:t>
              <w:br/>
              <w:t>model = ols('session_duration_mins ~ C(marketing_channel)', data=df).fit()</w:t>
              <w:br/>
              <w:t>anova_table = sm.stats.anova_lm(model, typ=2)</w:t>
              <w:br/>
              <w:t>eta_squared = anova_table.loc['C(marketing_channel)', 'sum_sq'] / (</w:t>
              <w:br/>
              <w:t xml:space="preserve">    anova_table.loc['C(marketing_channel)', 'sum_sq'] + anova_table.loc['Residual', 'sum_sq']</w:t>
              <w:br/>
              <w:t>)</w:t>
              <w:br/>
              <w:br/>
              <w:t># 3. Tukey's Honestly Significant Difference (HSD) pairwise test</w:t>
              <w:br/>
              <w:t xml:space="preserve">tukey = pairwise_tukeyhsd(endog=df['session_duration_mins'], </w:t>
              <w:br/>
              <w:t xml:space="preserve">                          groups=df['marketing_channel'], alpha=0.05)</w:t>
              <w:br/>
              <w:t>print(tukey.summary())</w:t>
            </w:r>
          </w:p>
        </w:tc>
      </w:tr>
    </w:tbl>
    <w:p>
      <w:pPr>
        <w:spacing w:after="80"/>
      </w:pPr>
    </w:p>
    <w:p>
      <w:pPr>
        <w:pStyle w:val="Heading1"/>
        <w:keepNext/>
        <w:spacing w:before="320" w:after="120"/>
      </w:pPr>
      <w:r>
        <w:rPr>
          <w:rFonts w:ascii="Calibri" w:hAnsi="Calibri"/>
          <w:b/>
          <w:color w:val="1B365D"/>
          <w:sz w:val="34"/>
        </w:rPr>
        <w:t>6. Business Implications, Strategic Recommendations &amp; Risk Analysis</w:t>
      </w:r>
    </w:p>
    <w:p>
      <w:pPr>
        <w:spacing w:after="100" w:line="276" w:lineRule="auto"/>
      </w:pPr>
      <w:r>
        <w:rPr>
          <w:rFonts w:ascii="Calibri" w:hAnsi="Calibri"/>
          <w:i w:val="0"/>
          <w:color w:val="282828"/>
          <w:sz w:val="21"/>
        </w:rPr>
        <w:t>Translating statistical inferences into actionable commercial strategy is the hallmark of effective enterprise data science. Based on the empirical findings, the following executive recommendations are prescribed:</w:t>
      </w:r>
    </w:p>
    <w:p>
      <w:pPr>
        <w:spacing w:after="100" w:line="276" w:lineRule="auto"/>
      </w:pPr>
      <w:r>
        <w:rPr>
          <w:rFonts w:ascii="Calibri" w:hAnsi="Calibri"/>
          <w:b/>
          <w:color w:val="222222"/>
          <w:sz w:val="21"/>
        </w:rPr>
        <w:t xml:space="preserve">Recommendation 1 (Commercial Expansion): </w:t>
      </w:r>
      <w:r>
        <w:rPr>
          <w:rFonts w:ascii="Calibri" w:hAnsi="Calibri"/>
          <w:i w:val="0"/>
          <w:color w:val="282828"/>
          <w:sz w:val="21"/>
        </w:rPr>
        <w:t>1. Platform-Wide Rollout of Treatment Checkout Architecture: With an empirically validated AOV increase of +$6.55 per converted order and a 4.47% uplift in conversion probability, rolling out the machine-learning recommendation model platform-wide is projected to generate substantial incremental gross merchandise volume (GMV) with minimal downside risk (95% lower bound = +$2.68).</w:t>
      </w:r>
    </w:p>
    <w:p>
      <w:pPr>
        <w:spacing w:after="100" w:line="276" w:lineRule="auto"/>
      </w:pPr>
      <w:r>
        <w:rPr>
          <w:rFonts w:ascii="Calibri" w:hAnsi="Calibri"/>
          <w:b/>
          <w:color w:val="222222"/>
          <w:sz w:val="21"/>
        </w:rPr>
        <w:t xml:space="preserve">Recommendation 2 (Hardware Remediation): </w:t>
      </w:r>
      <w:r>
        <w:rPr>
          <w:rFonts w:ascii="Calibri" w:hAnsi="Calibri"/>
          <w:i w:val="0"/>
          <w:color w:val="282828"/>
          <w:sz w:val="21"/>
        </w:rPr>
        <w:t>2. Emergency Mobile UX/UI Redesign: While Mobile represents 55.3% of platform traffic, it exhibits a critically depressed conversion rate of 13.68% (compared to 20.06% on Desktop). The large negative residual (-2.79) demonstrates that the checkout flow is poorly optimized for touch devices. Engineering should prioritize mobile wallet integrations (Apple Pay, Google Pay) and autofill forms to capture dormant mobile demand.</w:t>
      </w:r>
    </w:p>
    <w:p>
      <w:pPr>
        <w:spacing w:after="100" w:line="276" w:lineRule="auto"/>
      </w:pPr>
      <w:r>
        <w:rPr>
          <w:rFonts w:ascii="Calibri" w:hAnsi="Calibri"/>
          <w:b/>
          <w:color w:val="222222"/>
          <w:sz w:val="21"/>
        </w:rPr>
        <w:t xml:space="preserve">Recommendation 3 (Marketing Optimization): </w:t>
      </w:r>
      <w:r>
        <w:rPr>
          <w:rFonts w:ascii="Calibri" w:hAnsi="Calibri"/>
          <w:i w:val="0"/>
          <w:color w:val="282828"/>
          <w:sz w:val="21"/>
        </w:rPr>
        <w:t>3. Reallocation of Marketing Acquisition Capital: Email and Organic channels drive 2x higher engagement than Social Media and Paid Search. Marketing leadership should reallocate customer acquisition cost (CAC) budgets from low-intent paid discovery into high-intent organic SEO and personalized lifecycle email automation.</w:t>
      </w:r>
    </w:p>
    <w:p>
      <w:pPr>
        <w:spacing w:after="100" w:line="276" w:lineRule="auto"/>
      </w:pPr>
      <w:r>
        <w:rPr>
          <w:rFonts w:ascii="Calibri" w:hAnsi="Calibri"/>
          <w:b/>
          <w:color w:val="222222"/>
          <w:sz w:val="21"/>
        </w:rPr>
        <w:t xml:space="preserve">Risk &amp; Sensitivity Analysis: </w:t>
      </w:r>
      <w:r>
        <w:rPr>
          <w:rFonts w:ascii="Calibri" w:hAnsi="Calibri"/>
          <w:i w:val="0"/>
          <w:color w:val="282828"/>
          <w:sz w:val="21"/>
        </w:rPr>
        <w:t>4. Risk Management (Type I vs Type II Error Trade-Offs): Setting alpha = 0.05 guaranteed a maximum 5% false positive rate. Post-hoc power calculations confirm statistical power (1 - beta) &gt; 0.95 across all four tests, ensuring negligible risk of Type II errors (missing true effects).</w:t>
      </w:r>
    </w:p>
    <w:p>
      <w:pPr>
        <w:pStyle w:val="Heading1"/>
        <w:keepNext/>
        <w:spacing w:before="320" w:after="120"/>
      </w:pPr>
      <w:r>
        <w:rPr>
          <w:rFonts w:ascii="Calibri" w:hAnsi="Calibri"/>
          <w:b/>
          <w:color w:val="1B365D"/>
          <w:sz w:val="34"/>
        </w:rPr>
        <w:t>7. Conclusion &amp; Final Hypothesis Validation Matrix</w:t>
      </w:r>
    </w:p>
    <w:p>
      <w:pPr>
        <w:spacing w:after="100" w:line="276" w:lineRule="auto"/>
      </w:pPr>
      <w:r>
        <w:rPr>
          <w:rFonts w:ascii="Calibri" w:hAnsi="Calibri"/>
          <w:i w:val="0"/>
          <w:color w:val="282828"/>
          <w:sz w:val="21"/>
        </w:rPr>
        <w:t>In accordance with the Week 3 evaluation criteria, the comprehensive hypothesis testing battery has rigorously validated and refuted the experimental assertions. A summary of the final empirical decisions is consolidated in the validation matrix below:</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none"/>
          <w:left w:val="none"/>
          <w:right w:val="none"/>
        </w:tblBorders>
      </w:tblPr>
      <w:tblGrid>
        <w:gridCol w:w="1656"/>
        <w:gridCol w:w="1656"/>
        <w:gridCol w:w="1656"/>
        <w:gridCol w:w="1656"/>
        <w:gridCol w:w="1656"/>
        <w:gridCol w:w="1656"/>
      </w:tblGrid>
      <w:tr>
        <w:tc>
          <w:tcPr>
            <w:tcW w:type="dxa" w:w="1656"/>
            <w:shd w:val="clear" w:color="auto" w:fill="1B365D"/>
            <w:tcMar>
              <w:top w:w="140" w:type="dxa"/>
              <w:bottom w:w="140" w:type="dxa"/>
              <w:left w:w="160" w:type="dxa"/>
              <w:right w:w="160" w:type="dxa"/>
            </w:tcMar>
            <w:vAlign w:val="center"/>
          </w:tcPr>
          <w:p>
            <w:pPr>
              <w:jc w:val="left"/>
            </w:pPr>
            <w:r>
              <w:rPr>
                <w:rFonts w:ascii="Calibri" w:hAnsi="Calibri"/>
                <w:b/>
                <w:color w:val="FFFFFF"/>
                <w:sz w:val="17"/>
              </w:rPr>
              <w:t>Hypothesis ID</w:t>
            </w:r>
          </w:p>
        </w:tc>
        <w:tc>
          <w:tcPr>
            <w:tcW w:type="dxa" w:w="1656"/>
            <w:shd w:val="clear" w:color="auto" w:fill="1B365D"/>
            <w:tcMar>
              <w:top w:w="140" w:type="dxa"/>
              <w:bottom w:w="140" w:type="dxa"/>
              <w:left w:w="160" w:type="dxa"/>
              <w:right w:w="160" w:type="dxa"/>
            </w:tcMar>
            <w:vAlign w:val="center"/>
          </w:tcPr>
          <w:p>
            <w:pPr>
              <w:jc w:val="left"/>
            </w:pPr>
            <w:r>
              <w:rPr>
                <w:rFonts w:ascii="Calibri" w:hAnsi="Calibri"/>
                <w:b/>
                <w:color w:val="FFFFFF"/>
                <w:sz w:val="17"/>
              </w:rPr>
              <w:t>Statistical Test</w:t>
            </w:r>
          </w:p>
        </w:tc>
        <w:tc>
          <w:tcPr>
            <w:tcW w:type="dxa" w:w="1656"/>
            <w:shd w:val="clear" w:color="auto" w:fill="1B365D"/>
            <w:tcMar>
              <w:top w:w="140" w:type="dxa"/>
              <w:bottom w:w="140" w:type="dxa"/>
              <w:left w:w="160" w:type="dxa"/>
              <w:right w:w="160" w:type="dxa"/>
            </w:tcMar>
            <w:vAlign w:val="center"/>
          </w:tcPr>
          <w:p>
            <w:pPr>
              <w:jc w:val="left"/>
            </w:pPr>
            <w:r>
              <w:rPr>
                <w:rFonts w:ascii="Calibri" w:hAnsi="Calibri"/>
                <w:b/>
                <w:color w:val="FFFFFF"/>
                <w:sz w:val="17"/>
              </w:rPr>
              <w:t>Test Statistic</w:t>
            </w:r>
          </w:p>
        </w:tc>
        <w:tc>
          <w:tcPr>
            <w:tcW w:type="dxa" w:w="1656"/>
            <w:shd w:val="clear" w:color="auto" w:fill="1B365D"/>
            <w:tcMar>
              <w:top w:w="140" w:type="dxa"/>
              <w:bottom w:w="140" w:type="dxa"/>
              <w:left w:w="160" w:type="dxa"/>
              <w:right w:w="160" w:type="dxa"/>
            </w:tcMar>
            <w:vAlign w:val="center"/>
          </w:tcPr>
          <w:p>
            <w:pPr>
              <w:jc w:val="left"/>
            </w:pPr>
            <w:r>
              <w:rPr>
                <w:rFonts w:ascii="Calibri" w:hAnsi="Calibri"/>
                <w:b/>
                <w:color w:val="FFFFFF"/>
                <w:sz w:val="17"/>
              </w:rPr>
              <w:t>p-Value</w:t>
            </w:r>
          </w:p>
        </w:tc>
        <w:tc>
          <w:tcPr>
            <w:tcW w:type="dxa" w:w="1656"/>
            <w:shd w:val="clear" w:color="auto" w:fill="1B365D"/>
            <w:tcMar>
              <w:top w:w="140" w:type="dxa"/>
              <w:bottom w:w="140" w:type="dxa"/>
              <w:left w:w="160" w:type="dxa"/>
              <w:right w:w="160" w:type="dxa"/>
            </w:tcMar>
            <w:vAlign w:val="center"/>
          </w:tcPr>
          <w:p>
            <w:pPr>
              <w:jc w:val="left"/>
            </w:pPr>
            <w:r>
              <w:rPr>
                <w:rFonts w:ascii="Calibri" w:hAnsi="Calibri"/>
                <w:b/>
                <w:color w:val="FFFFFF"/>
                <w:sz w:val="17"/>
              </w:rPr>
              <w:t>Effect Size</w:t>
            </w:r>
          </w:p>
        </w:tc>
        <w:tc>
          <w:tcPr>
            <w:tcW w:type="dxa" w:w="1656"/>
            <w:shd w:val="clear" w:color="auto" w:fill="1B365D"/>
            <w:tcMar>
              <w:top w:w="140" w:type="dxa"/>
              <w:bottom w:w="140" w:type="dxa"/>
              <w:left w:w="160" w:type="dxa"/>
              <w:right w:w="160" w:type="dxa"/>
            </w:tcMar>
            <w:vAlign w:val="center"/>
          </w:tcPr>
          <w:p>
            <w:pPr>
              <w:jc w:val="left"/>
            </w:pPr>
            <w:r>
              <w:rPr>
                <w:rFonts w:ascii="Calibri" w:hAnsi="Calibri"/>
                <w:b/>
                <w:color w:val="FFFFFF"/>
                <w:sz w:val="17"/>
              </w:rPr>
              <w:t>Empirical Verdict</w:t>
            </w:r>
          </w:p>
        </w:tc>
      </w:tr>
      <w:tr>
        <w:tc>
          <w:tcPr>
            <w:tcW w:type="dxa" w:w="1656"/>
            <w:shd w:val="clear" w:color="auto" w:fill="F7FAFC"/>
            <w:tcMar>
              <w:top w:w="140" w:type="dxa"/>
              <w:bottom w:w="140" w:type="dxa"/>
              <w:left w:w="160" w:type="dxa"/>
              <w:right w:w="160" w:type="dxa"/>
            </w:tcMar>
            <w:vAlign w:val="center"/>
          </w:tcPr>
          <w:p>
            <w:pPr>
              <w:jc w:val="left"/>
            </w:pPr>
            <w:r>
              <w:rPr>
                <w:rFonts w:ascii="Calibri" w:hAnsi="Calibri"/>
                <w:b/>
                <w:color w:val="222222"/>
                <w:sz w:val="17"/>
              </w:rPr>
              <w:t>H1: AOV Uplift</w:t>
            </w:r>
          </w:p>
        </w:tc>
        <w:tc>
          <w:tcPr>
            <w:tcW w:type="dxa" w:w="1656"/>
            <w:shd w:val="clear" w:color="auto" w:fill="F7FAFC"/>
            <w:tcMar>
              <w:top w:w="140" w:type="dxa"/>
              <w:bottom w:w="140" w:type="dxa"/>
              <w:left w:w="160" w:type="dxa"/>
              <w:right w:w="160" w:type="dxa"/>
            </w:tcMar>
            <w:vAlign w:val="center"/>
          </w:tcPr>
          <w:p>
            <w:pPr>
              <w:jc w:val="left"/>
            </w:pPr>
            <w:r>
              <w:rPr>
                <w:rFonts w:ascii="Calibri" w:hAnsi="Calibri"/>
                <w:b w:val="0"/>
                <w:color w:val="222222"/>
                <w:sz w:val="17"/>
              </w:rPr>
              <w:t>Welch's Two-Sample t-Test</w:t>
            </w:r>
          </w:p>
        </w:tc>
        <w:tc>
          <w:tcPr>
            <w:tcW w:type="dxa" w:w="1656"/>
            <w:shd w:val="clear" w:color="auto" w:fill="F7FAFC"/>
            <w:tcMar>
              <w:top w:w="140" w:type="dxa"/>
              <w:bottom w:w="140" w:type="dxa"/>
              <w:left w:w="160" w:type="dxa"/>
              <w:right w:w="160" w:type="dxa"/>
            </w:tcMar>
            <w:vAlign w:val="center"/>
          </w:tcPr>
          <w:p>
            <w:pPr>
              <w:jc w:val="left"/>
            </w:pPr>
            <w:r>
              <w:rPr>
                <w:rFonts w:ascii="Calibri" w:hAnsi="Calibri"/>
                <w:b w:val="0"/>
                <w:color w:val="222222"/>
                <w:sz w:val="17"/>
              </w:rPr>
              <w:t>t = 3.32</w:t>
            </w:r>
          </w:p>
        </w:tc>
        <w:tc>
          <w:tcPr>
            <w:tcW w:type="dxa" w:w="1656"/>
            <w:shd w:val="clear" w:color="auto" w:fill="F7FAFC"/>
            <w:tcMar>
              <w:top w:w="140" w:type="dxa"/>
              <w:bottom w:w="140" w:type="dxa"/>
              <w:left w:w="160" w:type="dxa"/>
              <w:right w:w="160" w:type="dxa"/>
            </w:tcMar>
            <w:vAlign w:val="center"/>
          </w:tcPr>
          <w:p>
            <w:pPr>
              <w:jc w:val="left"/>
            </w:pPr>
            <w:r>
              <w:rPr>
                <w:rFonts w:ascii="Calibri" w:hAnsi="Calibri"/>
                <w:b w:val="0"/>
                <w:color w:val="222222"/>
                <w:sz w:val="17"/>
              </w:rPr>
              <w:t>9.56e-04</w:t>
            </w:r>
          </w:p>
        </w:tc>
        <w:tc>
          <w:tcPr>
            <w:tcW w:type="dxa" w:w="1656"/>
            <w:shd w:val="clear" w:color="auto" w:fill="F7FAFC"/>
            <w:tcMar>
              <w:top w:w="140" w:type="dxa"/>
              <w:bottom w:w="140" w:type="dxa"/>
              <w:left w:w="160" w:type="dxa"/>
              <w:right w:w="160" w:type="dxa"/>
            </w:tcMar>
            <w:vAlign w:val="center"/>
          </w:tcPr>
          <w:p>
            <w:pPr>
              <w:jc w:val="left"/>
            </w:pPr>
            <w:r>
              <w:rPr>
                <w:rFonts w:ascii="Calibri" w:hAnsi="Calibri"/>
                <w:b w:val="0"/>
                <w:color w:val="222222"/>
                <w:sz w:val="17"/>
              </w:rPr>
              <w:t>Cohen's d = 0.30</w:t>
            </w:r>
          </w:p>
        </w:tc>
        <w:tc>
          <w:tcPr>
            <w:tcW w:type="dxa" w:w="1656"/>
            <w:shd w:val="clear" w:color="auto" w:fill="F7FAFC"/>
            <w:tcMar>
              <w:top w:w="140" w:type="dxa"/>
              <w:bottom w:w="140" w:type="dxa"/>
              <w:left w:w="160" w:type="dxa"/>
              <w:right w:w="160" w:type="dxa"/>
            </w:tcMar>
            <w:vAlign w:val="center"/>
          </w:tcPr>
          <w:p>
            <w:pPr>
              <w:jc w:val="left"/>
            </w:pPr>
            <w:r>
              <w:rPr>
                <w:rFonts w:ascii="Calibri" w:hAnsi="Calibri"/>
                <w:b/>
                <w:color w:val="1B365D"/>
                <w:sz w:val="17"/>
              </w:rPr>
              <w:t>Reject H0 (Validated Uplift)</w:t>
            </w:r>
          </w:p>
        </w:tc>
      </w:tr>
      <w:tr>
        <w:tc>
          <w:tcPr>
            <w:tcW w:type="dxa" w:w="1656"/>
            <w:shd w:val="clear" w:color="auto" w:fill="FFFFFF"/>
            <w:tcMar>
              <w:top w:w="140" w:type="dxa"/>
              <w:bottom w:w="140" w:type="dxa"/>
              <w:left w:w="160" w:type="dxa"/>
              <w:right w:w="160" w:type="dxa"/>
            </w:tcMar>
            <w:vAlign w:val="center"/>
          </w:tcPr>
          <w:p>
            <w:pPr>
              <w:jc w:val="left"/>
            </w:pPr>
            <w:r>
              <w:rPr>
                <w:rFonts w:ascii="Calibri" w:hAnsi="Calibri"/>
                <w:b/>
                <w:color w:val="222222"/>
                <w:sz w:val="17"/>
              </w:rPr>
              <w:t>H2: Device Independence</w:t>
            </w:r>
          </w:p>
        </w:tc>
        <w:tc>
          <w:tcPr>
            <w:tcW w:type="dxa" w:w="1656"/>
            <w:shd w:val="clear" w:color="auto" w:fill="FFFFFF"/>
            <w:tcMar>
              <w:top w:w="140" w:type="dxa"/>
              <w:bottom w:w="140" w:type="dxa"/>
              <w:left w:w="160" w:type="dxa"/>
              <w:right w:w="160" w:type="dxa"/>
            </w:tcMar>
            <w:vAlign w:val="center"/>
          </w:tcPr>
          <w:p>
            <w:pPr>
              <w:jc w:val="left"/>
            </w:pPr>
            <w:r>
              <w:rPr>
                <w:rFonts w:ascii="Calibri" w:hAnsi="Calibri"/>
                <w:b w:val="0"/>
                <w:color w:val="222222"/>
                <w:sz w:val="17"/>
              </w:rPr>
              <w:t>Pearson's Chi-Square (chi^2)</w:t>
            </w:r>
          </w:p>
        </w:tc>
        <w:tc>
          <w:tcPr>
            <w:tcW w:type="dxa" w:w="1656"/>
            <w:shd w:val="clear" w:color="auto" w:fill="FFFFFF"/>
            <w:tcMar>
              <w:top w:w="140" w:type="dxa"/>
              <w:bottom w:w="140" w:type="dxa"/>
              <w:left w:w="160" w:type="dxa"/>
              <w:right w:w="160" w:type="dxa"/>
            </w:tcMar>
            <w:vAlign w:val="center"/>
          </w:tcPr>
          <w:p>
            <w:pPr>
              <w:jc w:val="left"/>
            </w:pPr>
            <w:r>
              <w:rPr>
                <w:rFonts w:ascii="Calibri" w:hAnsi="Calibri"/>
                <w:b w:val="0"/>
                <w:color w:val="222222"/>
                <w:sz w:val="17"/>
              </w:rPr>
              <w:t>chi^2 = 20.98</w:t>
            </w:r>
          </w:p>
        </w:tc>
        <w:tc>
          <w:tcPr>
            <w:tcW w:type="dxa" w:w="1656"/>
            <w:shd w:val="clear" w:color="auto" w:fill="FFFFFF"/>
            <w:tcMar>
              <w:top w:w="140" w:type="dxa"/>
              <w:bottom w:w="140" w:type="dxa"/>
              <w:left w:w="160" w:type="dxa"/>
              <w:right w:w="160" w:type="dxa"/>
            </w:tcMar>
            <w:vAlign w:val="center"/>
          </w:tcPr>
          <w:p>
            <w:pPr>
              <w:jc w:val="left"/>
            </w:pPr>
            <w:r>
              <w:rPr>
                <w:rFonts w:ascii="Calibri" w:hAnsi="Calibri"/>
                <w:b w:val="0"/>
                <w:color w:val="222222"/>
                <w:sz w:val="17"/>
              </w:rPr>
              <w:t>2.77e-05</w:t>
            </w:r>
          </w:p>
        </w:tc>
        <w:tc>
          <w:tcPr>
            <w:tcW w:type="dxa" w:w="1656"/>
            <w:shd w:val="clear" w:color="auto" w:fill="FFFFFF"/>
            <w:tcMar>
              <w:top w:w="140" w:type="dxa"/>
              <w:bottom w:w="140" w:type="dxa"/>
              <w:left w:w="160" w:type="dxa"/>
              <w:right w:w="160" w:type="dxa"/>
            </w:tcMar>
            <w:vAlign w:val="center"/>
          </w:tcPr>
          <w:p>
            <w:pPr>
              <w:jc w:val="left"/>
            </w:pPr>
            <w:r>
              <w:rPr>
                <w:rFonts w:ascii="Calibri" w:hAnsi="Calibri"/>
                <w:b w:val="0"/>
                <w:color w:val="222222"/>
                <w:sz w:val="17"/>
              </w:rPr>
              <w:t>Cramer's V = 0.08</w:t>
            </w:r>
          </w:p>
        </w:tc>
        <w:tc>
          <w:tcPr>
            <w:tcW w:type="dxa" w:w="1656"/>
            <w:shd w:val="clear" w:color="auto" w:fill="FFFFFF"/>
            <w:tcMar>
              <w:top w:w="140" w:type="dxa"/>
              <w:bottom w:w="140" w:type="dxa"/>
              <w:left w:w="160" w:type="dxa"/>
              <w:right w:w="160" w:type="dxa"/>
            </w:tcMar>
            <w:vAlign w:val="center"/>
          </w:tcPr>
          <w:p>
            <w:pPr>
              <w:jc w:val="left"/>
            </w:pPr>
            <w:r>
              <w:rPr>
                <w:rFonts w:ascii="Calibri" w:hAnsi="Calibri"/>
                <w:b/>
                <w:color w:val="1B365D"/>
                <w:sz w:val="17"/>
              </w:rPr>
              <w:t>Reject H0 (Device Dependent)</w:t>
            </w:r>
          </w:p>
        </w:tc>
      </w:tr>
      <w:tr>
        <w:tc>
          <w:tcPr>
            <w:tcW w:type="dxa" w:w="1656"/>
            <w:shd w:val="clear" w:color="auto" w:fill="F7FAFC"/>
            <w:tcMar>
              <w:top w:w="140" w:type="dxa"/>
              <w:bottom w:w="140" w:type="dxa"/>
              <w:left w:w="160" w:type="dxa"/>
              <w:right w:w="160" w:type="dxa"/>
            </w:tcMar>
            <w:vAlign w:val="center"/>
          </w:tcPr>
          <w:p>
            <w:pPr>
              <w:jc w:val="left"/>
            </w:pPr>
            <w:r>
              <w:rPr>
                <w:rFonts w:ascii="Calibri" w:hAnsi="Calibri"/>
                <w:b/>
                <w:color w:val="222222"/>
                <w:sz w:val="17"/>
              </w:rPr>
              <w:t>H3: Channel Duration</w:t>
            </w:r>
          </w:p>
        </w:tc>
        <w:tc>
          <w:tcPr>
            <w:tcW w:type="dxa" w:w="1656"/>
            <w:shd w:val="clear" w:color="auto" w:fill="F7FAFC"/>
            <w:tcMar>
              <w:top w:w="140" w:type="dxa"/>
              <w:bottom w:w="140" w:type="dxa"/>
              <w:left w:w="160" w:type="dxa"/>
              <w:right w:w="160" w:type="dxa"/>
            </w:tcMar>
            <w:vAlign w:val="center"/>
          </w:tcPr>
          <w:p>
            <w:pPr>
              <w:jc w:val="left"/>
            </w:pPr>
            <w:r>
              <w:rPr>
                <w:rFonts w:ascii="Calibri" w:hAnsi="Calibri"/>
                <w:b w:val="0"/>
                <w:color w:val="222222"/>
                <w:sz w:val="17"/>
              </w:rPr>
              <w:t>One-Way ANOVA + Tukey HSD</w:t>
            </w:r>
          </w:p>
        </w:tc>
        <w:tc>
          <w:tcPr>
            <w:tcW w:type="dxa" w:w="1656"/>
            <w:shd w:val="clear" w:color="auto" w:fill="F7FAFC"/>
            <w:tcMar>
              <w:top w:w="140" w:type="dxa"/>
              <w:bottom w:w="140" w:type="dxa"/>
              <w:left w:w="160" w:type="dxa"/>
              <w:right w:w="160" w:type="dxa"/>
            </w:tcMar>
            <w:vAlign w:val="center"/>
          </w:tcPr>
          <w:p>
            <w:pPr>
              <w:jc w:val="left"/>
            </w:pPr>
            <w:r>
              <w:rPr>
                <w:rFonts w:ascii="Calibri" w:hAnsi="Calibri"/>
                <w:b w:val="0"/>
                <w:color w:val="222222"/>
                <w:sz w:val="17"/>
              </w:rPr>
              <w:t>F = 402.37</w:t>
            </w:r>
          </w:p>
        </w:tc>
        <w:tc>
          <w:tcPr>
            <w:tcW w:type="dxa" w:w="1656"/>
            <w:shd w:val="clear" w:color="auto" w:fill="F7FAFC"/>
            <w:tcMar>
              <w:top w:w="140" w:type="dxa"/>
              <w:bottom w:w="140" w:type="dxa"/>
              <w:left w:w="160" w:type="dxa"/>
              <w:right w:w="160" w:type="dxa"/>
            </w:tcMar>
            <w:vAlign w:val="center"/>
          </w:tcPr>
          <w:p>
            <w:pPr>
              <w:jc w:val="left"/>
            </w:pPr>
            <w:r>
              <w:rPr>
                <w:rFonts w:ascii="Calibri" w:hAnsi="Calibri"/>
                <w:b w:val="0"/>
                <w:color w:val="222222"/>
                <w:sz w:val="17"/>
              </w:rPr>
              <w:t>1.32e-219</w:t>
            </w:r>
          </w:p>
        </w:tc>
        <w:tc>
          <w:tcPr>
            <w:tcW w:type="dxa" w:w="1656"/>
            <w:shd w:val="clear" w:color="auto" w:fill="F7FAFC"/>
            <w:tcMar>
              <w:top w:w="140" w:type="dxa"/>
              <w:bottom w:w="140" w:type="dxa"/>
              <w:left w:w="160" w:type="dxa"/>
              <w:right w:w="160" w:type="dxa"/>
            </w:tcMar>
            <w:vAlign w:val="center"/>
          </w:tcPr>
          <w:p>
            <w:pPr>
              <w:jc w:val="left"/>
            </w:pPr>
            <w:r>
              <w:rPr>
                <w:rFonts w:ascii="Calibri" w:hAnsi="Calibri"/>
                <w:b w:val="0"/>
                <w:color w:val="222222"/>
                <w:sz w:val="17"/>
              </w:rPr>
              <w:t>Eta-Sq eta^2 = 0.29</w:t>
            </w:r>
          </w:p>
        </w:tc>
        <w:tc>
          <w:tcPr>
            <w:tcW w:type="dxa" w:w="1656"/>
            <w:shd w:val="clear" w:color="auto" w:fill="F7FAFC"/>
            <w:tcMar>
              <w:top w:w="140" w:type="dxa"/>
              <w:bottom w:w="140" w:type="dxa"/>
              <w:left w:w="160" w:type="dxa"/>
              <w:right w:w="160" w:type="dxa"/>
            </w:tcMar>
            <w:vAlign w:val="center"/>
          </w:tcPr>
          <w:p>
            <w:pPr>
              <w:jc w:val="left"/>
            </w:pPr>
            <w:r>
              <w:rPr>
                <w:rFonts w:ascii="Calibri" w:hAnsi="Calibri"/>
                <w:b/>
                <w:color w:val="1B365D"/>
                <w:sz w:val="17"/>
              </w:rPr>
              <w:t>Reject H0 (Significant Variance)</w:t>
            </w:r>
          </w:p>
        </w:tc>
      </w:tr>
      <w:tr>
        <w:tc>
          <w:tcPr>
            <w:tcW w:type="dxa" w:w="1656"/>
            <w:shd w:val="clear" w:color="auto" w:fill="FFFFFF"/>
            <w:tcMar>
              <w:top w:w="140" w:type="dxa"/>
              <w:bottom w:w="140" w:type="dxa"/>
              <w:left w:w="160" w:type="dxa"/>
              <w:right w:w="160" w:type="dxa"/>
            </w:tcMar>
            <w:vAlign w:val="center"/>
          </w:tcPr>
          <w:p>
            <w:pPr>
              <w:jc w:val="left"/>
            </w:pPr>
            <w:r>
              <w:rPr>
                <w:rFonts w:ascii="Calibri" w:hAnsi="Calibri"/>
                <w:b/>
                <w:color w:val="222222"/>
                <w:sz w:val="17"/>
              </w:rPr>
              <w:t>H4: Loyalty Intervention</w:t>
            </w:r>
          </w:p>
        </w:tc>
        <w:tc>
          <w:tcPr>
            <w:tcW w:type="dxa" w:w="1656"/>
            <w:shd w:val="clear" w:color="auto" w:fill="FFFFFF"/>
            <w:tcMar>
              <w:top w:w="140" w:type="dxa"/>
              <w:bottom w:w="140" w:type="dxa"/>
              <w:left w:w="160" w:type="dxa"/>
              <w:right w:w="160" w:type="dxa"/>
            </w:tcMar>
            <w:vAlign w:val="center"/>
          </w:tcPr>
          <w:p>
            <w:pPr>
              <w:jc w:val="left"/>
            </w:pPr>
            <w:r>
              <w:rPr>
                <w:rFonts w:ascii="Calibri" w:hAnsi="Calibri"/>
                <w:b w:val="0"/>
                <w:color w:val="222222"/>
                <w:sz w:val="17"/>
              </w:rPr>
              <w:t>Paired Samples t-Test</w:t>
            </w:r>
          </w:p>
        </w:tc>
        <w:tc>
          <w:tcPr>
            <w:tcW w:type="dxa" w:w="1656"/>
            <w:shd w:val="clear" w:color="auto" w:fill="FFFFFF"/>
            <w:tcMar>
              <w:top w:w="140" w:type="dxa"/>
              <w:bottom w:w="140" w:type="dxa"/>
              <w:left w:w="160" w:type="dxa"/>
              <w:right w:w="160" w:type="dxa"/>
            </w:tcMar>
            <w:vAlign w:val="center"/>
          </w:tcPr>
          <w:p>
            <w:pPr>
              <w:jc w:val="left"/>
            </w:pPr>
            <w:r>
              <w:rPr>
                <w:rFonts w:ascii="Calibri" w:hAnsi="Calibri"/>
                <w:b w:val="0"/>
                <w:color w:val="222222"/>
                <w:sz w:val="17"/>
              </w:rPr>
              <w:t>t = 35.16</w:t>
            </w:r>
          </w:p>
        </w:tc>
        <w:tc>
          <w:tcPr>
            <w:tcW w:type="dxa" w:w="1656"/>
            <w:shd w:val="clear" w:color="auto" w:fill="FFFFFF"/>
            <w:tcMar>
              <w:top w:w="140" w:type="dxa"/>
              <w:bottom w:w="140" w:type="dxa"/>
              <w:left w:w="160" w:type="dxa"/>
              <w:right w:w="160" w:type="dxa"/>
            </w:tcMar>
            <w:vAlign w:val="center"/>
          </w:tcPr>
          <w:p>
            <w:pPr>
              <w:jc w:val="left"/>
            </w:pPr>
            <w:r>
              <w:rPr>
                <w:rFonts w:ascii="Calibri" w:hAnsi="Calibri"/>
                <w:b w:val="0"/>
                <w:color w:val="222222"/>
                <w:sz w:val="17"/>
              </w:rPr>
              <w:t>4.26e-140</w:t>
            </w:r>
          </w:p>
        </w:tc>
        <w:tc>
          <w:tcPr>
            <w:tcW w:type="dxa" w:w="1656"/>
            <w:shd w:val="clear" w:color="auto" w:fill="FFFFFF"/>
            <w:tcMar>
              <w:top w:w="140" w:type="dxa"/>
              <w:bottom w:w="140" w:type="dxa"/>
              <w:left w:w="160" w:type="dxa"/>
              <w:right w:w="160" w:type="dxa"/>
            </w:tcMar>
            <w:vAlign w:val="center"/>
          </w:tcPr>
          <w:p>
            <w:pPr>
              <w:jc w:val="left"/>
            </w:pPr>
            <w:r>
              <w:rPr>
                <w:rFonts w:ascii="Calibri" w:hAnsi="Calibri"/>
                <w:b w:val="0"/>
                <w:color w:val="222222"/>
                <w:sz w:val="17"/>
              </w:rPr>
              <w:t>Cohen's dz = 1.53</w:t>
            </w:r>
          </w:p>
        </w:tc>
        <w:tc>
          <w:tcPr>
            <w:tcW w:type="dxa" w:w="1656"/>
            <w:shd w:val="clear" w:color="auto" w:fill="FFFFFF"/>
            <w:tcMar>
              <w:top w:w="140" w:type="dxa"/>
              <w:bottom w:w="140" w:type="dxa"/>
              <w:left w:w="160" w:type="dxa"/>
              <w:right w:w="160" w:type="dxa"/>
            </w:tcMar>
            <w:vAlign w:val="center"/>
          </w:tcPr>
          <w:p>
            <w:pPr>
              <w:jc w:val="left"/>
            </w:pPr>
            <w:r>
              <w:rPr>
                <w:rFonts w:ascii="Calibri" w:hAnsi="Calibri"/>
                <w:b/>
                <w:color w:val="1B365D"/>
                <w:sz w:val="17"/>
              </w:rPr>
              <w:t>Reject H0 (Significant Shift)</w:t>
            </w:r>
          </w:p>
        </w:tc>
      </w:tr>
    </w:tbl>
    <w:p>
      <w:pPr>
        <w:spacing w:after="24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