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30EBA" w14:textId="169F6A45" w:rsidR="000D6725" w:rsidRPr="00551FAF" w:rsidRDefault="00000000" w:rsidP="00CE60DC">
      <w:pPr>
        <w:spacing w:after="60"/>
        <w:jc w:val="center"/>
        <w:rPr>
          <w:rFonts w:asciiTheme="majorBidi" w:eastAsiaTheme="majorEastAsia" w:hAnsiTheme="majorBidi" w:cstheme="majorBidi"/>
          <w:b/>
          <w:bCs/>
          <w:color w:val="2E74B5"/>
          <w:sz w:val="24"/>
          <w:szCs w:val="24"/>
          <w:lang w:val="fr-FR"/>
        </w:rPr>
      </w:pPr>
      <w:r w:rsidRPr="00551FAF">
        <w:rPr>
          <w:rFonts w:asciiTheme="majorBidi" w:eastAsiaTheme="majorEastAsia" w:hAnsiTheme="majorBidi" w:cstheme="majorBidi"/>
          <w:b/>
          <w:bCs/>
          <w:color w:val="2E74B5"/>
          <w:sz w:val="24"/>
          <w:szCs w:val="24"/>
          <w:lang w:val="fr-FR"/>
        </w:rPr>
        <w:t>Compte rendu</w:t>
      </w:r>
      <w:r w:rsidR="00BE7A2F" w:rsidRPr="00551FAF">
        <w:rPr>
          <w:rFonts w:asciiTheme="majorBidi" w:eastAsiaTheme="majorEastAsia" w:hAnsiTheme="majorBidi" w:cstheme="majorBidi"/>
          <w:b/>
          <w:bCs/>
          <w:color w:val="2E74B5"/>
          <w:sz w:val="24"/>
          <w:szCs w:val="24"/>
          <w:lang w:val="fr-FR"/>
        </w:rPr>
        <w:t xml:space="preserve"> </w:t>
      </w:r>
      <w:r w:rsidRPr="00551FAF">
        <w:rPr>
          <w:rFonts w:asciiTheme="majorBidi" w:eastAsiaTheme="majorEastAsia" w:hAnsiTheme="majorBidi" w:cstheme="majorBidi"/>
          <w:b/>
          <w:bCs/>
          <w:color w:val="2E74B5"/>
          <w:sz w:val="24"/>
          <w:szCs w:val="24"/>
          <w:lang w:val="fr-FR"/>
        </w:rPr>
        <w:t>— Challenge AI Engineer</w:t>
      </w:r>
    </w:p>
    <w:p w14:paraId="7598C91D" w14:textId="77777777" w:rsidR="000D6725" w:rsidRPr="009A2EE6" w:rsidRDefault="00000000" w:rsidP="00CE60DC">
      <w:pPr>
        <w:spacing w:after="240"/>
        <w:jc w:val="center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555555"/>
          <w:lang w:val="fr-FR"/>
        </w:rPr>
        <w:t>Application de chat analytique sur les résultats électoraux EDAN 2025</w:t>
      </w:r>
    </w:p>
    <w:p w14:paraId="192C2CA7" w14:textId="77777777" w:rsidR="000D6725" w:rsidRPr="005827C5" w:rsidRDefault="00000000" w:rsidP="009A2EE6">
      <w:pPr>
        <w:pStyle w:val="Titre1"/>
        <w:jc w:val="both"/>
        <w:rPr>
          <w:rFonts w:asciiTheme="majorBidi" w:hAnsiTheme="majorBidi"/>
          <w:sz w:val="24"/>
          <w:szCs w:val="24"/>
          <w:lang w:val="fr-FR"/>
        </w:rPr>
      </w:pPr>
      <w:r w:rsidRPr="005827C5">
        <w:rPr>
          <w:rFonts w:asciiTheme="majorBidi" w:hAnsiTheme="majorBidi"/>
          <w:sz w:val="24"/>
          <w:szCs w:val="24"/>
          <w:lang w:val="fr-FR"/>
        </w:rPr>
        <w:t>Description du travail réalisé</w:t>
      </w:r>
    </w:p>
    <w:p w14:paraId="4EB9BF5C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 xml:space="preserve">Le projet met en place une application Streamlit permettant d’interroger le PDF officiel des résultats électoraux EDAN 2025. Le pipeline extrait les données du PDF, construit une base </w:t>
      </w:r>
      <w:proofErr w:type="spellStart"/>
      <w:r w:rsidRPr="009A2EE6">
        <w:rPr>
          <w:rFonts w:asciiTheme="majorBidi" w:hAnsiTheme="majorBidi" w:cstheme="majorBidi"/>
          <w:lang w:val="fr-FR"/>
        </w:rPr>
        <w:t>DuckDB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, prépare des vues analytiques, génère des </w:t>
      </w:r>
      <w:proofErr w:type="spellStart"/>
      <w:r w:rsidRPr="009A2EE6">
        <w:rPr>
          <w:rFonts w:asciiTheme="majorBidi" w:hAnsiTheme="majorBidi" w:cstheme="majorBidi"/>
          <w:lang w:val="fr-FR"/>
        </w:rPr>
        <w:t>chunks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 RAG et calcule des </w:t>
      </w:r>
      <w:proofErr w:type="spellStart"/>
      <w:r w:rsidRPr="009A2EE6">
        <w:rPr>
          <w:rFonts w:asciiTheme="majorBidi" w:hAnsiTheme="majorBidi" w:cstheme="majorBidi"/>
          <w:lang w:val="fr-FR"/>
        </w:rPr>
        <w:t>embeddings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 pour la recherche hybride.</w:t>
      </w:r>
    </w:p>
    <w:p w14:paraId="46EF16B5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>L’application combine un agent SQL pour les questions analytiques, un chemin RAG pour les demandes narratives ou floues, une mémoire conversationnelle structurée, une résolution d’entités et une génération de graphiques à la demande. L’utilisateur peut poser des questions factuelles, demander des agrégations, des classements, des comparaisons ou des graphiques.</w:t>
      </w:r>
    </w:p>
    <w:p w14:paraId="6E064ED2" w14:textId="07D95635" w:rsidR="00910C6E" w:rsidRPr="009A2EE6" w:rsidRDefault="00000000" w:rsidP="00910C6E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 xml:space="preserve">La traçabilité et l’évaluation sont centralisées dans </w:t>
      </w:r>
      <w:proofErr w:type="spellStart"/>
      <w:r w:rsidRPr="009A2EE6">
        <w:rPr>
          <w:rFonts w:asciiTheme="majorBidi" w:hAnsiTheme="majorBidi" w:cstheme="majorBidi"/>
          <w:lang w:val="fr-FR"/>
        </w:rPr>
        <w:t>Langfuse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. Les traces couvrent les routes, les nœuds </w:t>
      </w:r>
      <w:proofErr w:type="spellStart"/>
      <w:r w:rsidRPr="009A2EE6">
        <w:rPr>
          <w:rFonts w:asciiTheme="majorBidi" w:hAnsiTheme="majorBidi" w:cstheme="majorBidi"/>
          <w:lang w:val="fr-FR"/>
        </w:rPr>
        <w:t>LangGraph</w:t>
      </w:r>
      <w:proofErr w:type="spellEnd"/>
      <w:r w:rsidRPr="009A2EE6">
        <w:rPr>
          <w:rFonts w:asciiTheme="majorBidi" w:hAnsiTheme="majorBidi" w:cstheme="majorBidi"/>
          <w:lang w:val="fr-FR"/>
        </w:rPr>
        <w:t>, les appels LLM, le SQL, le RAG, les scores, les coûts, les latences et les retours utilisateur. La suite d’évaluation comprend 42 cas et le dernier run complet a obtenu 42/42 réussites.</w:t>
      </w:r>
    </w:p>
    <w:p w14:paraId="077E296B" w14:textId="77777777" w:rsidR="000D6725" w:rsidRPr="005827C5" w:rsidRDefault="00000000" w:rsidP="009A2EE6">
      <w:pPr>
        <w:pStyle w:val="Titre1"/>
        <w:jc w:val="both"/>
        <w:rPr>
          <w:rFonts w:asciiTheme="majorBidi" w:hAnsiTheme="majorBidi"/>
          <w:sz w:val="24"/>
          <w:szCs w:val="24"/>
          <w:lang w:val="fr-FR"/>
        </w:rPr>
      </w:pPr>
      <w:r w:rsidRPr="005827C5">
        <w:rPr>
          <w:rFonts w:asciiTheme="majorBidi" w:hAnsiTheme="majorBidi"/>
          <w:sz w:val="24"/>
          <w:szCs w:val="24"/>
          <w:lang w:val="fr-FR"/>
        </w:rPr>
        <w:t>Décisions de schéma</w:t>
      </w:r>
    </w:p>
    <w:p w14:paraId="0E07AC5D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DuckDB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est utilisé comme base locale car le </w:t>
      </w:r>
      <w:proofErr w:type="gramStart"/>
      <w:r w:rsidRPr="009A2EE6">
        <w:rPr>
          <w:rFonts w:asciiTheme="majorBidi" w:hAnsiTheme="majorBidi" w:cstheme="majorBidi"/>
          <w:color w:val="000000"/>
          <w:lang w:val="fr-FR"/>
        </w:rPr>
        <w:t>challenge</w:t>
      </w:r>
      <w:proofErr w:type="gramEnd"/>
      <w:r w:rsidRPr="009A2EE6">
        <w:rPr>
          <w:rFonts w:asciiTheme="majorBidi" w:hAnsiTheme="majorBidi" w:cstheme="majorBidi"/>
          <w:color w:val="000000"/>
          <w:lang w:val="fr-FR"/>
        </w:rPr>
        <w:t xml:space="preserve"> demande un démonstrateur reproductible, simple à lancer et suffisamment performant pour des agrégations électorales. Le PDF EDAN 2025 reste la source de vérité unique ; la base sert uniquement à rendre les données tabulaires interrogeables et auditables.</w:t>
      </w:r>
    </w:p>
    <w:p w14:paraId="41EE68FB" w14:textId="1602271B" w:rsidR="00910C6E" w:rsidRPr="005827C5" w:rsidRDefault="00000000" w:rsidP="005827C5">
      <w:pPr>
        <w:jc w:val="both"/>
        <w:rPr>
          <w:rFonts w:asciiTheme="majorBidi" w:hAnsiTheme="majorBidi" w:cstheme="majorBidi"/>
          <w:color w:val="000000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t>La table circonscriptions porte le niveau territorial et les métriques de participation : région, commune/circonscription, inscrits, votants, suffrages, bulletins nuls/blancs et pages sources. Elle évite de répéter ces mesures pour chaque candidat et fournit la granularité principale des agrégations.</w:t>
      </w:r>
    </w:p>
    <w:p w14:paraId="6CC6BEAE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t>La table candidats contient le détail des listes ou candidats par circonscription : parti ou groupement, nom, voix, pourcentage et statut élu. Elle est séparée de circonscriptions parce qu’une circonscription contient plusieurs candidats ; la relation est donc circonscriptions 1 → N candidats.</w:t>
      </w:r>
    </w:p>
    <w:p w14:paraId="1F8DF826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t xml:space="preserve">La table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rag_chunks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sert au chemin RAG : elle transforme les lignes importantes du PDF en texte recherchable avec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embeddings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, tout en conservant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source_page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,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source_type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,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source_id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et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chunk_id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>. Cette séparation permet de répondre aux questions narratives ou floues sans exposer directement toutes les tables SQL.</w:t>
      </w:r>
    </w:p>
    <w:p w14:paraId="247582AD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t xml:space="preserve">La table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entity_aliases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centralise les variantes d’écriture, fautes fréquentes, accents, casse et alias de partis/localités. Elle améliore la robustesse du routage et évite de demander au LLM de deviner seul les correspondances d’entités.</w:t>
      </w:r>
    </w:p>
    <w:p w14:paraId="4B22FB84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t xml:space="preserve">La table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dataset_versions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documente la reproductibilité : hash du PDF, versions de schéma/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chunking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>, modèle d’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embedding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et volumes extraits. Elle permet de savoir exactement sur quelle version de données une réponse ou une évaluation a été produite.</w:t>
      </w:r>
    </w:p>
    <w:p w14:paraId="1817DA89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t xml:space="preserve">Les vues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vw_results_clean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,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vw_winners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,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vw_turnout_by_region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et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vw_national_summary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sont volontairement exposées à l’agent SQL. Elles simplifient les requêtes, réduisent le risque d’erreur de jointure et limitent le périmètre accessible au modèle.</w:t>
      </w:r>
    </w:p>
    <w:p w14:paraId="66277C9B" w14:textId="77777777" w:rsidR="003B3437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color w:val="000000"/>
          <w:lang w:val="fr-FR"/>
        </w:rPr>
        <w:lastRenderedPageBreak/>
        <w:t xml:space="preserve">Les tables techniques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eval_cases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et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query_traces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 xml:space="preserve"> servent respectivement aux tests et à l’audit historique de requêtes. L’observabilité principale est aujourd’hui dans </w:t>
      </w:r>
      <w:proofErr w:type="spellStart"/>
      <w:r w:rsidRPr="009A2EE6">
        <w:rPr>
          <w:rFonts w:asciiTheme="majorBidi" w:hAnsiTheme="majorBidi" w:cstheme="majorBidi"/>
          <w:color w:val="000000"/>
          <w:lang w:val="fr-FR"/>
        </w:rPr>
        <w:t>Langfuse</w:t>
      </w:r>
      <w:proofErr w:type="spellEnd"/>
      <w:r w:rsidRPr="009A2EE6">
        <w:rPr>
          <w:rFonts w:asciiTheme="majorBidi" w:hAnsiTheme="majorBidi" w:cstheme="majorBidi"/>
          <w:color w:val="000000"/>
          <w:lang w:val="fr-FR"/>
        </w:rPr>
        <w:t>, mais ces tables décrivent le niveau de suivi prévu dans la base de démonstration.</w:t>
      </w:r>
    </w:p>
    <w:p w14:paraId="13E4210D" w14:textId="2227FBA6" w:rsidR="003B3437" w:rsidRPr="009A2EE6" w:rsidRDefault="00000000" w:rsidP="009A2EE6">
      <w:pPr>
        <w:spacing w:before="160" w:after="80"/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i/>
          <w:color w:val="555555"/>
          <w:lang w:val="fr-FR"/>
        </w:rPr>
        <w:t xml:space="preserve">Figure — </w:t>
      </w:r>
      <w:r w:rsidR="00F24420">
        <w:rPr>
          <w:rFonts w:asciiTheme="majorBidi" w:hAnsiTheme="majorBidi" w:cstheme="majorBidi"/>
          <w:i/>
          <w:color w:val="555555"/>
          <w:lang w:val="fr-FR"/>
        </w:rPr>
        <w:t>B</w:t>
      </w:r>
      <w:r w:rsidRPr="009A2EE6">
        <w:rPr>
          <w:rFonts w:asciiTheme="majorBidi" w:hAnsiTheme="majorBidi" w:cstheme="majorBidi"/>
          <w:i/>
          <w:color w:val="555555"/>
          <w:lang w:val="fr-FR"/>
        </w:rPr>
        <w:t xml:space="preserve">ase </w:t>
      </w:r>
      <w:proofErr w:type="spellStart"/>
      <w:r w:rsidRPr="009A2EE6">
        <w:rPr>
          <w:rFonts w:asciiTheme="majorBidi" w:hAnsiTheme="majorBidi" w:cstheme="majorBidi"/>
          <w:i/>
          <w:color w:val="555555"/>
          <w:lang w:val="fr-FR"/>
        </w:rPr>
        <w:t>DuckDB</w:t>
      </w:r>
      <w:proofErr w:type="spellEnd"/>
    </w:p>
    <w:p w14:paraId="31D4A1ED" w14:textId="514E78B4" w:rsidR="003B3437" w:rsidRPr="009A2EE6" w:rsidRDefault="00910C6E" w:rsidP="009A2EE6">
      <w:pPr>
        <w:spacing w:after="200"/>
        <w:jc w:val="both"/>
        <w:rPr>
          <w:rFonts w:asciiTheme="majorBidi" w:hAnsiTheme="majorBidi" w:cstheme="majorBidi"/>
          <w:lang w:val="fr-FR"/>
        </w:rPr>
      </w:pPr>
      <w:r>
        <w:rPr>
          <w:rFonts w:asciiTheme="majorBidi" w:hAnsiTheme="majorBidi" w:cstheme="majorBidi"/>
          <w:noProof/>
          <w:lang w:val="fr-FR"/>
        </w:rPr>
        <w:drawing>
          <wp:inline distT="0" distB="0" distL="0" distR="0" wp14:anchorId="4A7983E1" wp14:editId="09067E77">
            <wp:extent cx="5943600" cy="6838950"/>
            <wp:effectExtent l="0" t="0" r="0" b="0"/>
            <wp:docPr id="129180453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04532" name="Image 129180453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CF66" w14:textId="77777777" w:rsidR="000D6725" w:rsidRPr="005827C5" w:rsidRDefault="00000000" w:rsidP="009A2EE6">
      <w:pPr>
        <w:pStyle w:val="Titre1"/>
        <w:jc w:val="both"/>
        <w:rPr>
          <w:rFonts w:asciiTheme="majorBidi" w:hAnsiTheme="majorBidi"/>
          <w:sz w:val="24"/>
          <w:szCs w:val="24"/>
          <w:lang w:val="fr-FR"/>
        </w:rPr>
      </w:pPr>
      <w:r w:rsidRPr="005827C5">
        <w:rPr>
          <w:rFonts w:asciiTheme="majorBidi" w:hAnsiTheme="majorBidi"/>
          <w:sz w:val="24"/>
          <w:szCs w:val="24"/>
          <w:lang w:val="fr-FR"/>
        </w:rPr>
        <w:lastRenderedPageBreak/>
        <w:t>Routage et garde-fous</w:t>
      </w:r>
    </w:p>
    <w:p w14:paraId="61A54EC6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>Le routage combine un pré-routage déterministe et une décision LLM. Les requêtes analytiques passent par SQL ; les questions narratives, floues ou contextuelles peuvent passer par RAG. La reformulation autonome et la mémoire structurée améliorent les questions de suivi.</w:t>
      </w:r>
    </w:p>
    <w:p w14:paraId="1DCBF027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>Les garde-fous SQL imposent SELECT uniquement, valident tables et colonnes contre un schéma autorisé, bloquent les mots-clés destructifs, limitent la longueur SQL, les commentaires, les JOIN, les CTE et la profondeur de requête. Les LIMIT sont ajoutés ou réduits automatiquement.</w:t>
      </w:r>
    </w:p>
    <w:p w14:paraId="33C8C310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 xml:space="preserve">L’exécution </w:t>
      </w:r>
      <w:proofErr w:type="spellStart"/>
      <w:r w:rsidRPr="009A2EE6">
        <w:rPr>
          <w:rFonts w:asciiTheme="majorBidi" w:hAnsiTheme="majorBidi" w:cstheme="majorBidi"/>
          <w:lang w:val="fr-FR"/>
        </w:rPr>
        <w:t>DuckDB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 applique des limites de ressources, notamment timeout, mémoire et nombre de threads. Les requêtes </w:t>
      </w:r>
      <w:proofErr w:type="spellStart"/>
      <w:r w:rsidRPr="009A2EE6">
        <w:rPr>
          <w:rFonts w:asciiTheme="majorBidi" w:hAnsiTheme="majorBidi" w:cstheme="majorBidi"/>
          <w:lang w:val="fr-FR"/>
        </w:rPr>
        <w:t>adversariales</w:t>
      </w:r>
      <w:proofErr w:type="spellEnd"/>
      <w:r w:rsidRPr="009A2EE6">
        <w:rPr>
          <w:rFonts w:asciiTheme="majorBidi" w:hAnsiTheme="majorBidi" w:cstheme="majorBidi"/>
          <w:lang w:val="fr-FR"/>
        </w:rPr>
        <w:t>, les demandes hors périmètre, l’exfiltration de données, l’accès aux secrets et les prompts toxiques sont refusés.</w:t>
      </w:r>
    </w:p>
    <w:p w14:paraId="37F00DD0" w14:textId="77777777" w:rsidR="003B3437" w:rsidRPr="009A2EE6" w:rsidRDefault="00000000" w:rsidP="009A2EE6">
      <w:pPr>
        <w:spacing w:before="160" w:after="80"/>
        <w:jc w:val="both"/>
        <w:rPr>
          <w:rFonts w:asciiTheme="majorBidi" w:hAnsiTheme="majorBidi" w:cstheme="majorBidi"/>
        </w:rPr>
      </w:pPr>
      <w:r w:rsidRPr="009A2EE6">
        <w:rPr>
          <w:rFonts w:asciiTheme="majorBidi" w:hAnsiTheme="majorBidi" w:cstheme="majorBidi"/>
          <w:i/>
          <w:color w:val="555555"/>
        </w:rPr>
        <w:t>Figure — LangGraph minimal de l'application</w:t>
      </w:r>
    </w:p>
    <w:p w14:paraId="0F4EA59B" w14:textId="77777777" w:rsidR="003B3437" w:rsidRPr="009A2EE6" w:rsidRDefault="00000000" w:rsidP="009A2EE6">
      <w:pPr>
        <w:spacing w:after="200"/>
        <w:jc w:val="both"/>
        <w:rPr>
          <w:rFonts w:asciiTheme="majorBidi" w:hAnsiTheme="majorBidi" w:cstheme="majorBidi"/>
        </w:rPr>
      </w:pPr>
      <w:r w:rsidRPr="009A2EE6">
        <w:rPr>
          <w:rFonts w:asciiTheme="majorBidi" w:hAnsiTheme="majorBidi" w:cstheme="majorBidi"/>
          <w:noProof/>
        </w:rPr>
        <w:drawing>
          <wp:inline distT="0" distB="0" distL="0" distR="0" wp14:anchorId="1208E43A" wp14:editId="7A282EE1">
            <wp:extent cx="5897880" cy="36191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.tmp_langgraph_minimal_v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1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3D1E5" w14:textId="77777777" w:rsidR="000D6725" w:rsidRPr="005827C5" w:rsidRDefault="00000000" w:rsidP="009A2EE6">
      <w:pPr>
        <w:pStyle w:val="Titre1"/>
        <w:jc w:val="both"/>
        <w:rPr>
          <w:rFonts w:asciiTheme="majorBidi" w:hAnsiTheme="majorBidi"/>
          <w:sz w:val="24"/>
          <w:szCs w:val="24"/>
          <w:lang w:val="fr-FR"/>
        </w:rPr>
      </w:pPr>
      <w:r w:rsidRPr="005827C5">
        <w:rPr>
          <w:rFonts w:asciiTheme="majorBidi" w:hAnsiTheme="majorBidi"/>
          <w:sz w:val="24"/>
          <w:szCs w:val="24"/>
          <w:lang w:val="fr-FR"/>
        </w:rPr>
        <w:t>Limites connues et prochaines étapes</w:t>
      </w:r>
    </w:p>
    <w:p w14:paraId="7A082CEF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>Le corpus RAG est majoritairement tabulaire : les réponses narratives restent donc limitées par la nature des données extraites du PDF. Le modèle LLM peut aussi produire des formulations variables, même si les garde-fous et les évaluations réduisent le risque.</w:t>
      </w:r>
    </w:p>
    <w:p w14:paraId="26B0B880" w14:textId="77777777" w:rsidR="000D6725" w:rsidRPr="009A2EE6" w:rsidRDefault="00000000" w:rsidP="009A2EE6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 xml:space="preserve">Le streaming est activé pour la réponse finale, mais les appels JSON internes de routage, contextualisation et génération SQL restent non </w:t>
      </w:r>
      <w:proofErr w:type="spellStart"/>
      <w:r w:rsidRPr="009A2EE6">
        <w:rPr>
          <w:rFonts w:asciiTheme="majorBidi" w:hAnsiTheme="majorBidi" w:cstheme="majorBidi"/>
          <w:lang w:val="fr-FR"/>
        </w:rPr>
        <w:t>streamés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 pour préserver des sorties structurées validables. Certaines conversations longues pourraient bénéficier d’une compression automatique du contexte.</w:t>
      </w:r>
    </w:p>
    <w:p w14:paraId="16405781" w14:textId="7AD8CA86" w:rsidR="003B3437" w:rsidRPr="009A2EE6" w:rsidRDefault="00000000" w:rsidP="005827C5">
      <w:pPr>
        <w:jc w:val="both"/>
        <w:rPr>
          <w:rFonts w:asciiTheme="majorBidi" w:hAnsiTheme="majorBidi" w:cstheme="majorBidi"/>
          <w:lang w:val="fr-FR"/>
        </w:rPr>
      </w:pPr>
      <w:r w:rsidRPr="009A2EE6">
        <w:rPr>
          <w:rFonts w:asciiTheme="majorBidi" w:hAnsiTheme="majorBidi" w:cstheme="majorBidi"/>
          <w:lang w:val="fr-FR"/>
        </w:rPr>
        <w:t xml:space="preserve">Les prochaines étapes recommandées sont l’enrichissement continu des cas d’évaluation et, si le projet devient production, l’ajout d’authentification, de rate </w:t>
      </w:r>
      <w:proofErr w:type="spellStart"/>
      <w:r w:rsidRPr="009A2EE6">
        <w:rPr>
          <w:rFonts w:asciiTheme="majorBidi" w:hAnsiTheme="majorBidi" w:cstheme="majorBidi"/>
          <w:lang w:val="fr-FR"/>
        </w:rPr>
        <w:t>limiting</w:t>
      </w:r>
      <w:proofErr w:type="spellEnd"/>
      <w:r w:rsidRPr="009A2EE6">
        <w:rPr>
          <w:rFonts w:asciiTheme="majorBidi" w:hAnsiTheme="majorBidi" w:cstheme="majorBidi"/>
          <w:lang w:val="fr-FR"/>
        </w:rPr>
        <w:t xml:space="preserve"> et d’un suivi coût/utilisateur plus strict</w:t>
      </w:r>
    </w:p>
    <w:sectPr w:rsidR="003B3437" w:rsidRPr="009A2EE6" w:rsidSect="00034616"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A4E99" w14:textId="77777777" w:rsidR="00204338" w:rsidRDefault="00204338">
      <w:pPr>
        <w:spacing w:after="0" w:line="240" w:lineRule="auto"/>
      </w:pPr>
      <w:r>
        <w:separator/>
      </w:r>
    </w:p>
  </w:endnote>
  <w:endnote w:type="continuationSeparator" w:id="0">
    <w:p w14:paraId="264766F0" w14:textId="77777777" w:rsidR="00204338" w:rsidRDefault="00204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</w:rPr>
      <w:id w:val="-858651810"/>
      <w:docPartObj>
        <w:docPartGallery w:val="Page Numbers (Bottom of Page)"/>
        <w:docPartUnique/>
      </w:docPartObj>
    </w:sdtPr>
    <w:sdtContent>
      <w:p w14:paraId="2E16E533" w14:textId="41537D40" w:rsidR="009A2EE6" w:rsidRPr="00A027D6" w:rsidRDefault="009A2EE6">
        <w:pPr>
          <w:pStyle w:val="Pieddepage"/>
          <w:jc w:val="right"/>
          <w:rPr>
            <w:rFonts w:asciiTheme="majorBidi" w:hAnsiTheme="majorBidi" w:cstheme="majorBidi"/>
          </w:rPr>
        </w:pPr>
        <w:r w:rsidRPr="00A027D6">
          <w:rPr>
            <w:rFonts w:asciiTheme="majorBidi" w:hAnsiTheme="majorBidi" w:cstheme="majorBidi"/>
          </w:rPr>
          <w:fldChar w:fldCharType="begin"/>
        </w:r>
        <w:r w:rsidRPr="00A027D6">
          <w:rPr>
            <w:rFonts w:asciiTheme="majorBidi" w:hAnsiTheme="majorBidi" w:cstheme="majorBidi"/>
          </w:rPr>
          <w:instrText>PAGE   \* MERGEFORMAT</w:instrText>
        </w:r>
        <w:r w:rsidRPr="00A027D6">
          <w:rPr>
            <w:rFonts w:asciiTheme="majorBidi" w:hAnsiTheme="majorBidi" w:cstheme="majorBidi"/>
          </w:rPr>
          <w:fldChar w:fldCharType="separate"/>
        </w:r>
        <w:r w:rsidRPr="00A027D6">
          <w:rPr>
            <w:rFonts w:asciiTheme="majorBidi" w:hAnsiTheme="majorBidi" w:cstheme="majorBidi"/>
            <w:lang w:val="fr-FR"/>
          </w:rPr>
          <w:t>2</w:t>
        </w:r>
        <w:r w:rsidRPr="00A027D6">
          <w:rPr>
            <w:rFonts w:asciiTheme="majorBidi" w:hAnsiTheme="majorBidi" w:cstheme="majorBidi"/>
          </w:rPr>
          <w:fldChar w:fldCharType="end"/>
        </w:r>
      </w:p>
    </w:sdtContent>
  </w:sdt>
  <w:p w14:paraId="751A7955" w14:textId="5953D32C" w:rsidR="000D6725" w:rsidRPr="00A027D6" w:rsidRDefault="00A027D6">
    <w:pPr>
      <w:pStyle w:val="Pieddepage"/>
      <w:jc w:val="center"/>
      <w:rPr>
        <w:rFonts w:asciiTheme="majorBidi" w:hAnsiTheme="majorBidi" w:cstheme="majorBidi"/>
        <w:lang w:val="fr-FR"/>
      </w:rPr>
    </w:pPr>
    <w:r w:rsidRPr="00A027D6">
      <w:rPr>
        <w:rFonts w:asciiTheme="majorBidi" w:hAnsiTheme="majorBidi" w:cstheme="majorBidi"/>
        <w:lang w:val="fr-FR"/>
      </w:rPr>
      <w:t>Candidat – Amany Nsieni Kouadio Eliezer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EC072" w14:textId="77777777" w:rsidR="00204338" w:rsidRDefault="00204338">
      <w:pPr>
        <w:spacing w:after="0" w:line="240" w:lineRule="auto"/>
      </w:pPr>
      <w:r>
        <w:separator/>
      </w:r>
    </w:p>
  </w:footnote>
  <w:footnote w:type="continuationSeparator" w:id="0">
    <w:p w14:paraId="7AD99CCC" w14:textId="77777777" w:rsidR="00204338" w:rsidRDefault="002043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9447645">
    <w:abstractNumId w:val="8"/>
  </w:num>
  <w:num w:numId="2" w16cid:durableId="1271864312">
    <w:abstractNumId w:val="6"/>
  </w:num>
  <w:num w:numId="3" w16cid:durableId="1772582925">
    <w:abstractNumId w:val="5"/>
  </w:num>
  <w:num w:numId="4" w16cid:durableId="502161562">
    <w:abstractNumId w:val="4"/>
  </w:num>
  <w:num w:numId="5" w16cid:durableId="1260404366">
    <w:abstractNumId w:val="7"/>
  </w:num>
  <w:num w:numId="6" w16cid:durableId="787165661">
    <w:abstractNumId w:val="3"/>
  </w:num>
  <w:num w:numId="7" w16cid:durableId="1408768204">
    <w:abstractNumId w:val="2"/>
  </w:num>
  <w:num w:numId="8" w16cid:durableId="1676030464">
    <w:abstractNumId w:val="1"/>
  </w:num>
  <w:num w:numId="9" w16cid:durableId="575676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725"/>
    <w:rsid w:val="0015074B"/>
    <w:rsid w:val="00204338"/>
    <w:rsid w:val="0029639D"/>
    <w:rsid w:val="003259EC"/>
    <w:rsid w:val="00326F90"/>
    <w:rsid w:val="003B3437"/>
    <w:rsid w:val="004F66ED"/>
    <w:rsid w:val="004F6AA8"/>
    <w:rsid w:val="00551FAF"/>
    <w:rsid w:val="005827C5"/>
    <w:rsid w:val="0074298D"/>
    <w:rsid w:val="00910C6E"/>
    <w:rsid w:val="009A2EE6"/>
    <w:rsid w:val="00A027D6"/>
    <w:rsid w:val="00A86C39"/>
    <w:rsid w:val="00AA1D8D"/>
    <w:rsid w:val="00AF0A24"/>
    <w:rsid w:val="00B47730"/>
    <w:rsid w:val="00BE7A2F"/>
    <w:rsid w:val="00C06ADE"/>
    <w:rsid w:val="00C34817"/>
    <w:rsid w:val="00C710F5"/>
    <w:rsid w:val="00CB0664"/>
    <w:rsid w:val="00CE60DC"/>
    <w:rsid w:val="00E308EC"/>
    <w:rsid w:val="00F24420"/>
    <w:rsid w:val="00F2744E"/>
    <w:rsid w:val="00F43D86"/>
    <w:rsid w:val="00FC693F"/>
    <w:rsid w:val="00FD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D72C7"/>
  <w14:defaultImageDpi w14:val="300"/>
  <w15:docId w15:val="{EB6449F1-EA75-477E-8114-0951108E4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773</Words>
  <Characters>4254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Amany Nsieni Kouadio Eliezer</cp:lastModifiedBy>
  <cp:revision>30</cp:revision>
  <dcterms:created xsi:type="dcterms:W3CDTF">2013-12-23T23:15:00Z</dcterms:created>
  <dcterms:modified xsi:type="dcterms:W3CDTF">2026-06-29T13:40:00Z</dcterms:modified>
  <cp:category/>
</cp:coreProperties>
</file>